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jc w:val="right"/>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994"/>
        <w:jc w:val="right"/>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974725" cy="802005"/>
                <wp:effectExtent l="0" t="0" r="15875" b="17145"/>
                <wp:docPr id="4"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17"/>
                        <a:stretch/>
                      </pic:blipFill>
                      <pic:spPr bwMode="auto">
                        <a:xfrm>
                          <a:off x="0" y="0"/>
                          <a:ext cx="974725" cy="802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17" o:title=""/>
              </v:shape>
            </w:pict>
          </mc:Fallback>
        </mc:AlternateContent>
      </w:r>
      <w:r/>
    </w:p>
    <w:p>
      <w:pPr>
        <w:pStyle w:val="994"/>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shd w:val="clear" w:color="auto" w:fill="ffffff"/>
        <w:widowControl/>
        <w:rPr>
          <w:rFonts w:hint="default" w:ascii="Times New Roman" w:hAnsi="Times New Roman" w:eastAsia="仿宋" w:cs="Times New Roman"/>
          <w:b/>
          <w:color w:val="000000" w:themeColor="text1"/>
          <w:spacing w:val="-20"/>
          <w:sz w:val="48"/>
          <w:szCs w:val="48"/>
          <w:highlight w:val="none"/>
          <w14:textFill>
            <w14:solidFill>
              <w14:schemeClr w14:val="tx1"/>
            </w14:solidFill>
          </w14:textFill>
        </w:rPr>
      </w:pPr>
      <w:r>
        <w:rPr>
          <w:rFonts w:hint="default" w:ascii="Times New Roman" w:hAnsi="Times New Roman" w:eastAsia="仿宋" w:cs="Times New Roman"/>
          <w:b/>
          <w:color w:val="000000" w:themeColor="text1"/>
          <w:spacing w:val="-20"/>
          <w:sz w:val="48"/>
          <w:szCs w:val="48"/>
          <w:highlight w:val="none"/>
          <w14:textFill>
            <w14:solidFill>
              <w14:schemeClr w14:val="tx1"/>
            </w14:solidFill>
          </w14:textFill>
        </w:rPr>
      </w:r>
      <w:r/>
    </w:p>
    <w:p>
      <w:pPr>
        <w:jc w:val="center"/>
        <w:spacing w:line="360" w:lineRule="auto"/>
        <w:shd w:val="clear" w:color="auto" w:fill="ffffff"/>
        <w:widowControl/>
        <w:rPr>
          <w:rFonts w:hint="eastAsia" w:ascii="Times New Roman" w:hAnsi="Times New Roman" w:eastAsia="仿宋" w:cs="Times New Roman"/>
          <w:b/>
          <w:color w:val="000000" w:themeColor="text1"/>
          <w:sz w:val="72"/>
          <w:szCs w:val="72"/>
          <w:highlight w:val="none"/>
          <w:lang w:eastAsia="zh-CN"/>
          <w14:textFill>
            <w14:solidFill>
              <w14:schemeClr w14:val="tx1"/>
            </w14:solidFill>
          </w14:textFill>
        </w:rPr>
      </w:pPr>
      <w:r>
        <w:rPr>
          <w:rFonts w:hint="eastAsia" w:eastAsia="仿宋" w:cs="Times New Roman"/>
          <w:b/>
          <w:color w:val="000000" w:themeColor="text1"/>
          <w:sz w:val="56"/>
          <w:szCs w:val="56"/>
          <w:highlight w:val="none"/>
          <w:lang w:eastAsia="zh-CN"/>
          <w14:textFill>
            <w14:solidFill>
              <w14:schemeClr w14:val="tx1"/>
            </w14:solidFill>
          </w14:textFill>
        </w:rPr>
        <w:tab/>
      </w:r>
      <w:r>
        <w:rPr>
          <w:rFonts w:hint="eastAsia" w:eastAsia="仿宋" w:cs="Times New Roman"/>
          <w:b/>
          <w:color w:val="000000" w:themeColor="text1"/>
          <w:sz w:val="56"/>
          <w:szCs w:val="56"/>
          <w:highlight w:val="none"/>
          <w:lang w:eastAsia="zh-CN"/>
          <w14:textFill>
            <w14:solidFill>
              <w14:schemeClr w14:val="tx1"/>
            </w14:solidFill>
          </w14:textFill>
        </w:rPr>
        <w:t xml:space="preserve">南京市雨花台区机关事务管理服务中心食材供应（水产）及配送服务项目</w:t>
      </w:r>
      <w:r/>
    </w:p>
    <w:p>
      <w:pPr>
        <w:pStyle w:val="803"/>
        <w:jc w:val="left"/>
        <w:tabs>
          <w:tab w:val="left" w:pos="7159" w:leader="none"/>
        </w:tabs>
        <w:rPr>
          <w:rFonts w:hint="eastAsia" w:ascii="Times New Roman" w:hAnsi="Times New Roman" w:eastAsia="仿宋" w:cs="Times New Roman"/>
          <w:color w:val="000000" w:themeColor="text1"/>
          <w:highlight w:val="none"/>
          <w:lang w:eastAsia="zh-CN"/>
          <w14:textFill>
            <w14:solidFill>
              <w14:schemeClr w14:val="tx1"/>
            </w14:solidFill>
          </w14:textFill>
        </w:rPr>
      </w:pPr>
      <w:r>
        <w:rPr>
          <w:rFonts w:hint="eastAsia" w:eastAsia="仿宋" w:cs="Times New Roman"/>
          <w:color w:val="000000" w:themeColor="text1"/>
          <w:highlight w:val="none"/>
          <w:lang w:eastAsia="zh-CN"/>
          <w14:textFill>
            <w14:solidFill>
              <w14:schemeClr w14:val="tx1"/>
            </w14:solidFill>
          </w14:textFill>
        </w:rPr>
        <w:tab/>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03"/>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26"/>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ascii="Times New Roman" w:hAnsi="Times New Roman" w:eastAsia="仿宋" w:cs="Times New Roman"/>
          <w:b/>
          <w:color w:val="000000" w:themeColor="text1"/>
          <w:sz w:val="36"/>
          <w:szCs w:val="36"/>
          <w:highlight w:val="none"/>
          <w:lang w:eastAsia="zh-CN"/>
          <w14:textFill>
            <w14:solidFill>
              <w14:schemeClr w14:val="tx1"/>
            </w14:solidFill>
          </w14:textFill>
        </w:rPr>
      </w:pPr>
      <w:r/>
      <w:bookmarkStart w:id="0" w:name="_Toc22212"/>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项目编号：</w:t>
      </w:r>
      <w:bookmarkEnd w:id="0"/>
      <w:r>
        <w:rPr>
          <w:rFonts w:hint="eastAsia" w:eastAsia="仿宋" w:cs="Times New Roman"/>
          <w:b/>
          <w:color w:val="000000" w:themeColor="text1"/>
          <w:sz w:val="36"/>
          <w:szCs w:val="36"/>
          <w:highlight w:val="none"/>
          <w:lang w:eastAsia="zh-CN"/>
          <w14:textFill>
            <w14:solidFill>
              <w14:schemeClr w14:val="tx1"/>
            </w14:solidFill>
          </w14:textFill>
        </w:rPr>
        <w:t xml:space="preserve">JSZC-320114-YCGC-G2026-0012</w:t>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r>
      <w:r/>
    </w:p>
    <w:p>
      <w:pPr>
        <w:jc w:val="center"/>
        <w:spacing w:line="360" w:lineRule="auto"/>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pPr>
      <w:r/>
      <w:bookmarkStart w:id="1" w:name="_Toc21333"/>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采购人：</w:t>
      </w:r>
      <w:bookmarkEnd w:id="1"/>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南京市雨花台区机关事务管理服务中心</w:t>
      </w:r>
      <w:r/>
    </w:p>
    <w:p>
      <w:pPr>
        <w:jc w:val="center"/>
        <w:spacing w:line="360" w:lineRule="auto"/>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pPr>
      <w:r/>
      <w:bookmarkStart w:id="2" w:name="_Toc2950"/>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代理机构：源成工程咨询（江苏南京）有限责任公司</w:t>
      </w:r>
      <w:bookmarkEnd w:id="2"/>
      <w:r/>
      <w:r/>
    </w:p>
    <w:p>
      <w:pPr>
        <w:jc w:val="center"/>
        <w:spacing w:line="360" w:lineRule="auto"/>
        <w:shd w:val="clear" w:color="auto" w:fill="ffffff"/>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sectPr>
          <w:headerReference w:type="default" r:id="rId9"/>
          <w:footerReference w:type="default" r:id="rId11"/>
          <w:footnotePr/>
          <w:endnotePr>
            <w:numFmt w:val="decimal"/>
          </w:endnotePr>
          <w:type w:val="nextPage"/>
          <w:pgSz w:w="11906" w:h="16838" w:orient="portrait"/>
          <w:pgMar w:top="1417" w:right="1757" w:bottom="1417" w:left="1757" w:header="850" w:footer="1020" w:gutter="0"/>
          <w:cols w:num="1" w:sep="0" w:space="720" w:equalWidth="1"/>
          <w:docGrid w:linePitch="360"/>
        </w:sectPr>
      </w:pPr>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2026年7月</w:t>
      </w:r>
      <w:r/>
      <w: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r>
      <w:r/>
      <w:r>
        <w:rPr>
          <w:rFonts w:hint="default" w:ascii="Times New Roman" w:hAnsi="Times New Roman" w:eastAsia="仿宋" w:cs="Times New Roman"/>
          <w:b/>
          <w:color w:val="000000" w:themeColor="text1"/>
          <w:sz w:val="36"/>
          <w:szCs w:val="36"/>
          <w:highlight w:val="none"/>
          <w14:textFill>
            <w14:solidFill>
              <w14:schemeClr w14:val="tx1"/>
            </w14:solidFill>
          </w14:textFill>
        </w:rPr>
      </w:r>
    </w:p>
    <w:p>
      <w:pPr>
        <w:pStyle w:val="1097"/>
        <w:jc w:val="cente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t xml:space="preserve">目录</w:t>
      </w:r>
      <w:r/>
    </w:p>
    <w:p>
      <w:pPr>
        <w:pStyle w:val="815"/>
        <w:tabs>
          <w:tab w:val="right" w:pos="8296" w:leader="dot"/>
        </w:tabs>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r>
      <w:r/>
    </w:p>
    <w:p>
      <w:pPr>
        <w:jc w:val="cente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1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TOC \o "1-3" \h \u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_Toc3891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第一章 </w:t>
      </w:r>
      <w:r>
        <w:rPr>
          <w:rFonts w:hint="default" w:ascii="Times New Roman" w:hAnsi="Times New Roman" w:eastAsia="仿宋" w:cs="Times New Roman"/>
          <w:b/>
          <w:bCs/>
          <w:sz w:val="24"/>
          <w:szCs w:val="24"/>
          <w:highlight w:val="none"/>
        </w:rPr>
        <w:t xml:space="preserve">投标邀请</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_Toc3891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3</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1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_Toc6768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第二章 </w:t>
      </w:r>
      <w:r>
        <w:rPr>
          <w:rFonts w:hint="default" w:ascii="Times New Roman" w:hAnsi="Times New Roman" w:eastAsia="仿宋" w:cs="Times New Roman"/>
          <w:b/>
          <w:bCs/>
          <w:sz w:val="24"/>
          <w:szCs w:val="24"/>
          <w:highlight w:val="none"/>
        </w:rPr>
        <w:t xml:space="preserve">投标人须知</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_Toc6768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9</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1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_Toc1041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第三章 </w:t>
      </w:r>
      <w:r>
        <w:rPr>
          <w:rFonts w:hint="default" w:ascii="Times New Roman" w:hAnsi="Times New Roman" w:eastAsia="仿宋" w:cs="Times New Roman"/>
          <w:b/>
          <w:bCs/>
          <w:sz w:val="24"/>
          <w:szCs w:val="24"/>
          <w:highlight w:val="none"/>
        </w:rPr>
        <w:t xml:space="preserve">评标标准</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_Toc1041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25</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1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_Toc30056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第四章 </w:t>
      </w:r>
      <w:r>
        <w:rPr>
          <w:rFonts w:hint="default" w:ascii="Times New Roman" w:hAnsi="Times New Roman" w:eastAsia="仿宋" w:cs="Times New Roman"/>
          <w:b/>
          <w:bCs/>
          <w:sz w:val="24"/>
          <w:szCs w:val="24"/>
          <w:highlight w:val="none"/>
        </w:rPr>
        <w:t xml:space="preserve">采购需求</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_Toc30056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29</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1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_Toc19998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第五章 </w:t>
      </w:r>
      <w:r>
        <w:rPr>
          <w:rFonts w:hint="default" w:ascii="Times New Roman" w:hAnsi="Times New Roman" w:eastAsia="仿宋" w:cs="Times New Roman"/>
          <w:b/>
          <w:bCs/>
          <w:sz w:val="24"/>
          <w:szCs w:val="24"/>
          <w:highlight w:val="none"/>
        </w:rPr>
        <w:t xml:space="preserve">合同主要条款及格式</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_Toc19998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35</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1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_Toc22395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第六章 </w:t>
      </w:r>
      <w:r>
        <w:rPr>
          <w:rFonts w:hint="default" w:ascii="Times New Roman" w:hAnsi="Times New Roman" w:eastAsia="仿宋" w:cs="Times New Roman"/>
          <w:b/>
          <w:bCs/>
          <w:sz w:val="24"/>
          <w:szCs w:val="24"/>
          <w:highlight w:val="none"/>
        </w:rPr>
        <w:t xml:space="preserve">投标文件格式及附件</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_Toc22395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45</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24"/>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_Toc29654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一、 </w:t>
      </w:r>
      <w:r>
        <w:rPr>
          <w:rFonts w:hint="default" w:ascii="Times New Roman" w:hAnsi="Times New Roman" w:eastAsia="仿宋" w:cs="Times New Roman"/>
          <w:b/>
          <w:bCs/>
          <w:sz w:val="24"/>
          <w:szCs w:val="24"/>
          <w:highlight w:val="none"/>
        </w:rPr>
        <w:t xml:space="preserve">基本目录</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_Toc29654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46</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_Toc23717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1.开标一览表</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_Toc23717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46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_Toc29448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2.</w:t>
      </w:r>
      <w:r>
        <w:rPr>
          <w:rFonts w:hint="default" w:ascii="Times New Roman" w:hAnsi="Times New Roman" w:eastAsia="仿宋" w:cs="Times New Roman"/>
          <w:sz w:val="24"/>
          <w:szCs w:val="24"/>
          <w:highlight w:val="none"/>
        </w:rPr>
        <w:t xml:space="preserve">法</w:t>
      </w:r>
      <w:r>
        <w:rPr>
          <w:rFonts w:hint="default" w:ascii="Times New Roman" w:hAnsi="Times New Roman" w:eastAsia="仿宋" w:cs="Times New Roman"/>
          <w:sz w:val="24"/>
          <w:szCs w:val="24"/>
          <w:highlight w:val="none"/>
          <w:lang w:val="en-US" w:eastAsia="zh-CN"/>
        </w:rPr>
        <w:t xml:space="preserve">人授权书</w:t>
      </w:r>
      <w:r>
        <w:rPr>
          <w:rFonts w:hint="default" w:ascii="Times New Roman" w:hAnsi="Times New Roman" w:eastAsia="仿宋" w:cs="Times New Roman"/>
          <w:sz w:val="24"/>
          <w:szCs w:val="24"/>
          <w:highlight w:val="none"/>
        </w:rPr>
        <w:t xml:space="preserve">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_Toc29448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47</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_Toc24094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 xml:space="preserve">3.</w:t>
      </w:r>
      <w:r>
        <w:rPr>
          <w:rFonts w:hint="default" w:ascii="Times New Roman" w:hAnsi="Times New Roman" w:eastAsia="仿宋" w:cs="Times New Roman"/>
          <w:bCs/>
          <w:sz w:val="24"/>
          <w:szCs w:val="24"/>
          <w:highlight w:val="none"/>
        </w:rPr>
        <w:t xml:space="preserve">投标</w:t>
      </w:r>
      <w:r>
        <w:rPr>
          <w:rFonts w:hint="default" w:ascii="Times New Roman" w:hAnsi="Times New Roman" w:eastAsia="仿宋" w:cs="Times New Roman"/>
          <w:bCs/>
          <w:sz w:val="24"/>
          <w:szCs w:val="24"/>
          <w:highlight w:val="none"/>
          <w:lang w:val="en-US" w:eastAsia="zh-CN"/>
        </w:rPr>
        <w:t xml:space="preserve">函</w:t>
      </w:r>
      <w:r>
        <w:rPr>
          <w:rFonts w:hint="default" w:ascii="Times New Roman" w:hAnsi="Times New Roman" w:eastAsia="仿宋" w:cs="Times New Roman"/>
          <w:bCs/>
          <w:sz w:val="24"/>
          <w:szCs w:val="24"/>
          <w:highlight w:val="none"/>
        </w:rPr>
        <w:t xml:space="preserve">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_Toc24094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49</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_Toc28686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 xml:space="preserve">4.</w:t>
      </w:r>
      <w:r>
        <w:rPr>
          <w:rFonts w:hint="default" w:ascii="Times New Roman" w:hAnsi="Times New Roman" w:eastAsia="仿宋" w:cs="Times New Roman"/>
          <w:sz w:val="24"/>
          <w:szCs w:val="24"/>
          <w:highlight w:val="none"/>
          <w:lang w:val="en-US" w:eastAsia="zh-CN"/>
        </w:rPr>
        <w:t xml:space="preserve">技术响应</w:t>
      </w:r>
      <w:r>
        <w:rPr>
          <w:rFonts w:hint="default" w:ascii="Times New Roman" w:hAnsi="Times New Roman" w:eastAsia="仿宋" w:cs="Times New Roman"/>
          <w:sz w:val="24"/>
          <w:szCs w:val="24"/>
          <w:highlight w:val="none"/>
        </w:rPr>
        <w:t xml:space="preserve">偏离表格式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_Toc28686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50</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_Toc26324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5.商务</w:t>
      </w:r>
      <w:r>
        <w:rPr>
          <w:rFonts w:hint="default" w:ascii="Times New Roman" w:hAnsi="Times New Roman" w:eastAsia="仿宋" w:cs="Times New Roman"/>
          <w:bCs/>
          <w:sz w:val="24"/>
          <w:szCs w:val="24"/>
          <w:highlight w:val="none"/>
          <w:lang w:val="en-US" w:eastAsia="zh-CN"/>
        </w:rPr>
        <w:t xml:space="preserve">响应</w:t>
      </w:r>
      <w:r>
        <w:rPr>
          <w:rFonts w:hint="default" w:ascii="Times New Roman" w:hAnsi="Times New Roman" w:eastAsia="仿宋" w:cs="Times New Roman"/>
          <w:bCs/>
          <w:sz w:val="24"/>
          <w:szCs w:val="24"/>
          <w:highlight w:val="none"/>
        </w:rPr>
        <w:t xml:space="preserve">偏离表格式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_Toc26324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_Toc18996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6.采购文件要求及投标人认为需要提供的其他证明文件及材料</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_Toc18996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52</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4"/>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_Toc8365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二、资格文件</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_Toc8365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53</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24"/>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fldChar w:fldCharType="begin"/>
      </w:r>
      <w:r>
        <w:rPr>
          <w:rFonts w:hint="default" w:ascii="Times New Roman" w:hAnsi="Times New Roman" w:eastAsia="仿宋" w:cs="Times New Roman"/>
          <w:b/>
          <w:bCs/>
          <w:sz w:val="24"/>
          <w:szCs w:val="24"/>
          <w:highlight w:val="none"/>
        </w:rPr>
        <w:instrText xml:space="preserve"> HYPERLINK \l _Toc21604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三、综合评审评分项</w:t>
      </w:r>
      <w:r>
        <w:rPr>
          <w:rFonts w:hint="default" w:ascii="Times New Roman" w:hAnsi="Times New Roman" w:eastAsia="仿宋" w:cs="Times New Roman"/>
          <w:b/>
          <w:bCs/>
          <w:sz w:val="24"/>
          <w:szCs w:val="24"/>
          <w:highlight w:val="none"/>
        </w:rPr>
        <w:tab/>
      </w:r>
      <w:r>
        <w:rPr>
          <w:rFonts w:hint="default" w:ascii="Times New Roman" w:hAnsi="Times New Roman" w:eastAsia="仿宋" w:cs="Times New Roman"/>
          <w:b/>
          <w:bCs/>
          <w:sz w:val="24"/>
          <w:szCs w:val="24"/>
          <w:highlight w:val="none"/>
        </w:rPr>
        <w:fldChar w:fldCharType="begin"/>
      </w:r>
      <w:r>
        <w:rPr>
          <w:rFonts w:hint="default" w:ascii="Times New Roman" w:hAnsi="Times New Roman" w:eastAsia="仿宋" w:cs="Times New Roman"/>
          <w:b/>
          <w:bCs/>
          <w:sz w:val="24"/>
          <w:szCs w:val="24"/>
          <w:highlight w:val="none"/>
        </w:rPr>
        <w:instrText xml:space="preserve"> PAGEREF _Toc21604 \h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54</w:t>
      </w:r>
      <w:r>
        <w:rPr>
          <w:rFonts w:hint="default" w:ascii="Times New Roman" w:hAnsi="Times New Roman" w:eastAsia="仿宋" w:cs="Times New Roman"/>
          <w:b/>
          <w:bCs/>
          <w:sz w:val="24"/>
          <w:szCs w:val="24"/>
          <w:highlight w:val="none"/>
        </w:rPr>
        <w:fldChar w:fldCharType="end"/>
      </w:r>
      <w:r>
        <w:rPr>
          <w:rFonts w:hint="default" w:ascii="Times New Roman" w:hAnsi="Times New Roman" w:eastAsia="仿宋" w:cs="Times New Roman"/>
          <w:b/>
          <w:bCs/>
          <w:sz w:val="24"/>
          <w:szCs w:val="24"/>
          <w:highlight w:val="none"/>
        </w:rPr>
        <w:fldChar w:fldCharType="end"/>
      </w:r>
      <w:r/>
    </w:p>
    <w:p>
      <w:pPr>
        <w:pStyle w:val="824"/>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_Toc23620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四、价格折扣文件格式</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_Toc23620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55</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_Toc28117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1.中小企业声明函</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_Toc28117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55</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_Toc15138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2.残疾人福利性单位声明函</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_Toc15138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_Toc367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3.属于监狱企业的证明文件</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_Toc367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_Toc18273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4.节能产品认证证书</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_Toc18273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_Toc174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5.环境标志产品认证证书</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_Toc174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_Toc29262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6.进口产品转让技术、消化吸收再创新方案</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_Toc29262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4"/>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_Toc18439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五、附件</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_Toc18439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57</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_Toc32125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附件一、拟参与本项目服务人员一览表</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_Toc32125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57</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_Toc21996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附件二、投标人类似业绩情况表</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_Toc21996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58</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_Toc19481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 xml:space="preserve">附件三、无重大违法记录声明格式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_Toc19481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59</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_Toc27985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附件四、具备履行合同所必需的设备和专业技术能力的声明格式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_Toc27985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60</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0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_Toc14299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 xml:space="preserve">附件五</w:t>
      </w:r>
      <w:r>
        <w:rPr>
          <w:rFonts w:hint="default" w:ascii="Times New Roman" w:hAnsi="Times New Roman" w:eastAsia="仿宋" w:cs="Times New Roman"/>
          <w:sz w:val="24"/>
          <w:szCs w:val="24"/>
          <w:highlight w:val="none"/>
          <w:lang w:val="zh-CN"/>
        </w:rPr>
        <w:t xml:space="preserve">、南京市政府采购供应商信用记录表暨信用承诺书</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_Toc14299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61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keepLines w:val="0"/>
        <w:keepNext w:val="0"/>
        <w:pageBreakBefore w:val="0"/>
        <w:spacing w:line="360" w:lineRule="auto"/>
        <w:widowControl w:val="off"/>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shd w:val="clear" w:color="auto" w:fill="ffffff"/>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pPr>
      <w:r>
        <w:rPr>
          <w:rFonts w:hint="default" w:ascii="Times New Roman" w:hAnsi="Times New Roman" w:eastAsia="仿宋" w:cs="Times New Roman"/>
          <w:b/>
          <w:color w:val="000000" w:themeColor="text1"/>
          <w:sz w:val="36"/>
          <w:szCs w:val="36"/>
          <w:highlight w:val="none"/>
          <w14:textFill>
            <w14:solidFill>
              <w14:schemeClr w14:val="tx1"/>
            </w14:solidFill>
          </w14:textFill>
        </w:rPr>
      </w:r>
      <w:r/>
    </w:p>
    <w:p>
      <w:pPr>
        <w:pStyle w:val="783"/>
        <w:rPr>
          <w:rFonts w:hint="default" w:ascii="Times New Roman" w:hAnsi="Times New Roman" w:eastAsia="仿宋" w:cs="Times New Roman"/>
          <w:color w:val="000000" w:themeColor="text1"/>
          <w:szCs w:val="21"/>
          <w:highlight w:val="none"/>
          <w14:textFill>
            <w14:solidFill>
              <w14:schemeClr w14:val="tx1"/>
            </w14:solidFill>
          </w14:textFill>
        </w:rPr>
        <w:sectPr>
          <w:footerReference w:type="default" r:id="rId12"/>
          <w:footnotePr/>
          <w:endnotePr>
            <w:numFmt w:val="decimal"/>
          </w:endnotePr>
          <w:type w:val="nextPage"/>
          <w:pgSz w:w="11906" w:h="16838" w:orient="portrait"/>
          <w:pgMar w:top="1417" w:right="1757" w:bottom="1417" w:left="1757" w:header="850" w:footer="1020" w:gutter="0"/>
          <w:pgNumType w:start="1"/>
          <w:cols w:num="1" w:sep="0" w:space="720" w:equalWidth="1"/>
          <w:docGrid w:linePitch="360"/>
        </w:sectPr>
      </w:pPr>
      <w:r/>
      <w:bookmarkStart w:id="3" w:name="_Toc481057143"/>
      <w:r/>
      <w:bookmarkStart w:id="4" w:name="_Hlk54715254"/>
      <w:r/>
      <w:bookmarkStart w:id="5" w:name="_Hlk52290185"/>
      <w:r/>
      <w:bookmarkEnd w:id="3"/>
      <w:r/>
    </w:p>
    <w:p>
      <w:pPr>
        <w:pStyle w:val="783"/>
        <w:spacing w:line="360" w:lineRule="auto"/>
        <w:rPr>
          <w:rFonts w:hint="default" w:ascii="Times New Roman" w:hAnsi="Times New Roman" w:eastAsia="仿宋" w:cs="Times New Roman"/>
          <w:color w:val="000000" w:themeColor="text1"/>
          <w:szCs w:val="21"/>
          <w:highlight w:val="none"/>
          <w14:textFill>
            <w14:solidFill>
              <w14:schemeClr w14:val="tx1"/>
            </w14:solidFill>
          </w14:textFill>
        </w:rPr>
      </w:pPr>
      <w:r/>
      <w:bookmarkStart w:id="6" w:name="_Toc3891"/>
      <w:r>
        <w:rPr>
          <w:rFonts w:hint="default" w:ascii="Times New Roman" w:hAnsi="Times New Roman" w:eastAsia="仿宋" w:cs="Times New Roman"/>
          <w:color w:val="000000" w:themeColor="text1"/>
          <w:highlight w:val="none"/>
          <w14:textFill>
            <w14:solidFill>
              <w14:schemeClr w14:val="tx1"/>
            </w14:solidFill>
          </w14:textFill>
        </w:rPr>
        <w:t xml:space="preserve">投标邀请</w:t>
      </w:r>
      <w:bookmarkEnd w:id="6"/>
      <w:r/>
      <w:r/>
    </w:p>
    <w:p>
      <w:pPr>
        <w:ind w:firstLine="514"/>
        <w:spacing w:line="360" w:lineRule="auto"/>
        <w:widowControl/>
        <w:rPr>
          <w:rFonts w:hint="default" w:ascii="Times New Roman" w:hAnsi="Times New Roman" w:eastAsia="仿宋" w:cs="Times New Roman"/>
          <w:b/>
          <w:bCs/>
          <w:color w:val="000000" w:themeColor="text1"/>
          <w:spacing w:val="8"/>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项目概况</w:t>
      </w:r>
      <w:r/>
    </w:p>
    <w:p>
      <w:pPr>
        <w:ind w:firstLine="482"/>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eastAsia="仿宋" w:cs="Times New Roman"/>
          <w:b/>
          <w:bCs/>
          <w:color w:val="000000" w:themeColor="text1"/>
          <w:sz w:val="24"/>
          <w:highlight w:val="none"/>
          <w:u w:val="single"/>
          <w:lang w:eastAsia="zh-CN"/>
          <w14:textFill>
            <w14:solidFill>
              <w14:schemeClr w14:val="tx1"/>
            </w14:solidFill>
          </w14:textFill>
        </w:rPr>
        <w:tab/>
      </w:r>
      <w:r>
        <w:rPr>
          <w:rFonts w:hint="eastAsia" w:eastAsia="仿宋" w:cs="Times New Roman"/>
          <w:b/>
          <w:bCs/>
          <w:color w:val="000000" w:themeColor="text1"/>
          <w:sz w:val="24"/>
          <w:highlight w:val="none"/>
          <w:u w:val="single"/>
          <w:lang w:eastAsia="zh-CN"/>
          <w14:textFill>
            <w14:solidFill>
              <w14:schemeClr w14:val="tx1"/>
            </w14:solidFill>
          </w14:textFill>
        </w:rPr>
        <w:t xml:space="preserve">南京市雨花台区机关事务管理服务中心食材供应（水产）及配送服务项目</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的潜在投标人应在</w:t>
      </w:r>
      <w:r>
        <w:rPr>
          <w:rFonts w:hint="default" w:ascii="Times New Roman" w:hAnsi="Times New Roman" w:eastAsia="仿宋" w:cs="Times New Roman"/>
          <w:color w:val="000000" w:themeColor="text1"/>
          <w:spacing w:val="8"/>
          <w:sz w:val="24"/>
          <w:highlight w:val="none"/>
          <w:u w:val="single"/>
          <w14:textFill>
            <w14:solidFill>
              <w14:schemeClr w14:val="tx1"/>
            </w14:solidFill>
          </w14:textFill>
        </w:rPr>
        <w:t xml:space="preserve">苏采云系统网上注册登记成功后系统内免费下载</w:t>
      </w:r>
      <w:r>
        <w:rPr>
          <w:rFonts w:hint="default" w:ascii="Times New Roman" w:hAnsi="Times New Roman" w:eastAsia="仿宋" w:cs="Times New Roman"/>
          <w:color w:val="000000" w:themeColor="text1"/>
          <w:sz w:val="24"/>
          <w:highlight w:val="none"/>
          <w14:textFill>
            <w14:solidFill>
              <w14:schemeClr w14:val="tx1"/>
            </w14:solidFill>
          </w14:textFill>
        </w:rPr>
        <w:t xml:space="preserve">获取采购文件，并于</w:t>
      </w:r>
      <w:r>
        <w:rPr>
          <w:rFonts w:hint="default" w:ascii="Times New Roman" w:hAnsi="Times New Roman" w:eastAsia="仿宋" w:cs="Times New Roman"/>
          <w:b/>
          <w:bCs/>
          <w:iCs/>
          <w:color w:val="000000" w:themeColor="text1"/>
          <w:spacing w:val="8"/>
          <w:sz w:val="24"/>
          <w:highlight w:val="none"/>
          <w:u w:val="single"/>
          <w14:textFill>
            <w14:solidFill>
              <w14:schemeClr w14:val="tx1"/>
            </w14:solidFill>
          </w14:textFill>
        </w:rPr>
        <w:t xml:space="preserve">2026</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年</w:t>
      </w:r>
      <w:r>
        <w:rPr>
          <w:rFonts w:hint="eastAsia" w:eastAsia="仿宋" w:cs="Times New Roman"/>
          <w:b/>
          <w:bCs/>
          <w:color w:val="000000" w:themeColor="text1"/>
          <w:spacing w:val="8"/>
          <w:sz w:val="24"/>
          <w:highlight w:val="none"/>
          <w:u w:val="single"/>
          <w:lang w:val="en-US" w:eastAsia="zh-CN"/>
          <w14:textFill>
            <w14:solidFill>
              <w14:schemeClr w14:val="tx1"/>
            </w14:solidFill>
          </w14:textFill>
        </w:rPr>
        <w:t xml:space="preserve">7</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月</w:t>
      </w:r>
      <w:r>
        <w:rPr>
          <w:rFonts w:hint="eastAsia" w:eastAsia="仿宋" w:cs="Times New Roman"/>
          <w:b/>
          <w:bCs/>
          <w:color w:val="000000" w:themeColor="text1"/>
          <w:spacing w:val="8"/>
          <w:sz w:val="24"/>
          <w:highlight w:val="none"/>
          <w:u w:val="single"/>
          <w:lang w:val="en-US" w:eastAsia="zh-CN"/>
          <w14:textFill>
            <w14:solidFill>
              <w14:schemeClr w14:val="tx1"/>
            </w14:solidFill>
          </w14:textFill>
        </w:rPr>
        <w:t xml:space="preserve">23</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日</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1</w:t>
      </w:r>
      <w:r>
        <w:rPr>
          <w:rFonts w:hint="eastAsia" w:eastAsia="仿宋" w:cs="Times New Roman"/>
          <w:b/>
          <w:bCs/>
          <w:color w:val="000000" w:themeColor="text1"/>
          <w:sz w:val="24"/>
          <w:highlight w:val="none"/>
          <w:u w:val="singl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点</w:t>
      </w:r>
      <w:r>
        <w:rPr>
          <w:rFonts w:hint="eastAsia" w:eastAsia="仿宋" w:cs="Times New Roman"/>
          <w:b/>
          <w:bCs/>
          <w:color w:val="000000" w:themeColor="text1"/>
          <w:sz w:val="24"/>
          <w:highlight w:val="none"/>
          <w:u w:val="singl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0分</w:t>
      </w:r>
      <w:r>
        <w:rPr>
          <w:rFonts w:hint="default" w:ascii="Times New Roman" w:hAnsi="Times New Roman" w:eastAsia="仿宋" w:cs="Times New Roman"/>
          <w:color w:val="000000" w:themeColor="text1"/>
          <w:sz w:val="24"/>
          <w:highlight w:val="none"/>
          <w14:textFill>
            <w14:solidFill>
              <w14:schemeClr w14:val="tx1"/>
            </w14:solidFill>
          </w14:textFill>
        </w:rPr>
        <w:t xml:space="preserve">（北京时间）前递交投标文件。</w:t>
      </w:r>
      <w:r/>
    </w:p>
    <w:p>
      <w:pPr>
        <w:ind w:firstLine="482"/>
        <w:jc w:val="lef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一、项目基本情况</w:t>
      </w:r>
      <w:bookmarkEnd w:id="4"/>
      <w:r/>
      <w:bookmarkEnd w:id="5"/>
      <w:r/>
      <w:r/>
    </w:p>
    <w:p>
      <w:pPr>
        <w:ind w:firstLine="480"/>
        <w:spacing w:line="360" w:lineRule="auto"/>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1.1项目编号：</w:t>
      </w:r>
      <w:r>
        <w:rPr>
          <w:rFonts w:hint="eastAsia" w:eastAsia="仿宋" w:cs="Times New Roman"/>
          <w:bCs/>
          <w:color w:val="000000" w:themeColor="text1"/>
          <w:sz w:val="24"/>
          <w:highlight w:val="none"/>
          <w:lang w:eastAsia="zh-CN"/>
          <w14:textFill>
            <w14:solidFill>
              <w14:schemeClr w14:val="tx1"/>
            </w14:solidFill>
          </w14:textFill>
        </w:rPr>
        <w:t xml:space="preserve">JSZC-320114-YCGC-G2026-0012</w:t>
      </w:r>
      <w:r/>
    </w:p>
    <w:p>
      <w:pPr>
        <w:ind w:firstLine="480"/>
        <w:spacing w:line="360" w:lineRule="auto"/>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1.2项目名称：</w:t>
      </w:r>
      <w:r>
        <w:rPr>
          <w:rFonts w:hint="eastAsia" w:eastAsia="仿宋" w:cs="Times New Roman"/>
          <w:bCs/>
          <w:color w:val="000000" w:themeColor="text1"/>
          <w:sz w:val="24"/>
          <w:highlight w:val="none"/>
          <w:lang w:eastAsia="zh-CN"/>
          <w14:textFill>
            <w14:solidFill>
              <w14:schemeClr w14:val="tx1"/>
            </w14:solidFill>
          </w14:textFill>
        </w:rPr>
        <w:tab/>
      </w:r>
      <w:r>
        <w:rPr>
          <w:rFonts w:hint="eastAsia" w:eastAsia="仿宋" w:cs="Times New Roman"/>
          <w:bCs/>
          <w:color w:val="000000" w:themeColor="text1"/>
          <w:sz w:val="24"/>
          <w:highlight w:val="none"/>
          <w:lang w:eastAsia="zh-CN"/>
          <w14:textFill>
            <w14:solidFill>
              <w14:schemeClr w14:val="tx1"/>
            </w14:solidFill>
          </w14:textFill>
        </w:rPr>
        <w:t xml:space="preserve">南京市雨花台区机关事务管理服务中心食材供应（水产）及配送服务项目</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1.3预算金额：人民币</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540万元；180万元/年</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1.4报价要求：此项目以优惠率报价，优惠率≥8%</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1.5本项目标的所属行业：根据《关于印发中小企业划型标准规定的通知》（工信部联企业〔2011〕300号）及《国家统计局关于印发〈统计上大中小微型企业划分办法（2017）〉的通知》（国统字〔2017〕213号）等文件规定，本项目所属行业为批发业。</w:t>
      </w:r>
      <w:r/>
    </w:p>
    <w:p>
      <w:pPr>
        <w:pStyle w:val="80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color w:val="000000" w:themeColor="text1"/>
          <w:sz w:val="24"/>
          <w:highlight w:val="none"/>
          <w14:textFill>
            <w14:solidFill>
              <w14:schemeClr w14:val="tx1"/>
            </w14:solidFill>
          </w14:textFill>
        </w:rPr>
        <w:t xml:space="preserve">1.6采购需求：为建立系统标准化、规范化的食材采购供应管理体系，加强成本核算，根据《中华人民共和国食品安全法</w:t>
      </w:r>
      <w:r>
        <w:rPr>
          <w:rFonts w:hint="eastAsia" w:eastAsia="仿宋" w:cs="Times New Roman"/>
          <w:b w:val="0"/>
          <w:color w:val="000000" w:themeColor="text1"/>
          <w:sz w:val="24"/>
          <w:highlight w:val="none"/>
          <w:lang w:eastAsia="zh-CN"/>
          <w14:textFill>
            <w14:solidFill>
              <w14:schemeClr w14:val="tx1"/>
            </w14:solidFill>
          </w14:textFill>
        </w:rPr>
        <w:t xml:space="preserve">》《中华人民共和国食品安全法实施条例</w:t>
      </w:r>
      <w:r>
        <w:rPr>
          <w:rFonts w:hint="default" w:ascii="Times New Roman" w:hAnsi="Times New Roman" w:eastAsia="仿宋" w:cs="Times New Roman"/>
          <w:b w:val="0"/>
          <w:color w:val="000000" w:themeColor="text1"/>
          <w:sz w:val="24"/>
          <w:highlight w:val="none"/>
          <w14:textFill>
            <w14:solidFill>
              <w14:schemeClr w14:val="tx1"/>
            </w14:solidFill>
          </w14:textFill>
        </w:rPr>
        <w:t xml:space="preserve">》等相关文件要求，现采购人拟通过公开招标的方式确定南京市雨花台区机关食堂及文化大厦每日所需水产品配送及相关服务的供应商。采购人不对本次中标供应商的具体年度采购金额做出承诺。仅根据实际发生情况进行结算。包括产品配送及相关服务。选取三家供应商，按采购人实际需求供应</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，具体要求详见招标文件第四章。</w:t>
      </w:r>
      <w:r/>
    </w:p>
    <w:p>
      <w:pPr>
        <w:pStyle w:val="803"/>
        <w:ind w:firstLine="480"/>
        <w:jc w:val="left"/>
        <w:spacing w:line="360" w:lineRule="auto"/>
        <w:rPr>
          <w:rFonts w:hint="default" w:ascii="Times New Roman" w:hAnsi="Times New Roman" w:eastAsia="仿宋" w:cs="Times New Roman"/>
          <w:b w:val="0"/>
          <w:color w:val="000000" w:themeColor="text1"/>
          <w:sz w:val="24"/>
          <w:highlight w:val="none"/>
          <w14:textFill>
            <w14:solidFill>
              <w14:schemeClr w14:val="tx1"/>
            </w14:solidFill>
          </w14:textFill>
        </w:rPr>
      </w:pPr>
      <w:r>
        <w:rPr>
          <w:rFonts w:hint="default" w:ascii="Times New Roman" w:hAnsi="Times New Roman" w:eastAsia="仿宋" w:cs="Times New Roman"/>
          <w:b w:val="0"/>
          <w:color w:val="000000" w:themeColor="text1"/>
          <w:sz w:val="24"/>
          <w:highlight w:val="none"/>
          <w14:textFill>
            <w14:solidFill>
              <w14:schemeClr w14:val="tx1"/>
            </w14:solidFill>
          </w14:textFill>
        </w:rPr>
        <w:t xml:space="preserve">1.7服务期限：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1.8本项目（是/否）接受联合体：否</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1.9是否接受进口产品：否</w:t>
      </w:r>
      <w:r/>
    </w:p>
    <w:p>
      <w:pPr>
        <w:ind w:firstLine="482"/>
        <w:jc w:val="lef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二、申请人的资格要求：</w:t>
      </w:r>
      <w:r/>
    </w:p>
    <w:p>
      <w:pPr>
        <w:ind w:firstLine="514"/>
        <w:jc w:val="left"/>
        <w:spacing w:line="360" w:lineRule="auto"/>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2.1满足《中华人民共和国政府采购法》第二十二条规定：</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（1）具有独立承担民事责任的能力；</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（2）具有良好的商业信誉和健全的财务会计制度；</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（3）具有履行合同所必需的设备和专业技术能力；</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（4）有依法缴纳税收和社会保障资金的良好记录；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（6）法律、行政法规规定的其他条件：无。</w:t>
      </w:r>
      <w:r/>
    </w:p>
    <w:p>
      <w:pPr>
        <w:ind w:firstLine="514"/>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2.2落实政府采购政策需满足的资格要求：</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（如属于专门面向中小企业采购的项目，供应商应为中小微企业、监狱企业、残疾人福利单位）</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本项目按照以下</w:t>
      </w:r>
      <w:r>
        <w:rPr>
          <w:rFonts w:hint="default" w:ascii="Times New Roman" w:hAnsi="Times New Roman" w:eastAsia="仿宋" w:cs="Times New Roman"/>
          <w:bCs/>
          <w:color w:val="000000" w:themeColor="text1"/>
          <w:sz w:val="24"/>
          <w:highlight w:val="none"/>
          <w:shd w:val="clear" w:color="ffffff"/>
          <w14:textFill>
            <w14:solidFill>
              <w14:schemeClr w14:val="tx1"/>
            </w14:solidFill>
          </w14:textFill>
        </w:rPr>
        <w:t xml:space="preserve">第（4）种</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方式落实政府采购促进中小企业发展的要求：</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（1）本项目整体专门面向中小企业采购服务。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（2）本项目整体专门面向小微企业采购服务。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（3）本项目通过以下第（）种方式预留部分采购份额采购中小企业服务：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①本项目要求供应商以联合体形式参加，中小企业合同金额应当达到的比例为_%。</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（4）本项目为非预留份额的采购项目或采购包，执行价格扣除优惠政策，具体详见第三章评标办法与标准。</w:t>
      </w:r>
      <w:r/>
    </w:p>
    <w:p>
      <w:pPr>
        <w:ind w:firstLine="514"/>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2.3采购人根据采购项目的特殊要求规定的特定条件，并提供符合特殊要求的证明</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材料或者情况</w:t>
      </w: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说明：</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供应商具有有效期内的《食品生产许可证》或《食品经营许可证》</w:t>
      </w:r>
      <w:r>
        <w:rPr>
          <w:rFonts w:eastAsia="仿宋"/>
          <w:b/>
          <w:bCs/>
          <w:color w:val="000000" w:themeColor="text1"/>
          <w:sz w:val="24"/>
          <w:highlight w:val="none"/>
          <w14:textFill>
            <w14:solidFill>
              <w14:schemeClr w14:val="tx1"/>
            </w14:solidFill>
          </w14:textFill>
        </w:rPr>
        <w:t xml:space="preserve">或食品经营者备案信息采集表（仅销售预包装）</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（提供相关证明材料扫描件并加盖电子公章）。</w:t>
      </w:r>
      <w:r/>
    </w:p>
    <w:p>
      <w:pPr>
        <w:pStyle w:val="80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2.4 第2.1（5）条所称重大违法记录，是指供应商因违法经营受到刑事处罚或者责令停产停业、吊销许可证或者执照、较大数额罚款等行政处罚。</w:t>
      </w:r>
      <w:r/>
    </w:p>
    <w:p>
      <w:pPr>
        <w:pStyle w:val="80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2.5</w:t>
      </w:r>
      <w:r>
        <w:rPr>
          <w:rFonts w:hint="default" w:ascii="Times New Roman" w:hAnsi="Times New Roman" w:eastAsia="仿宋" w:cs="Times New Roman"/>
          <w:b w:val="0"/>
          <w:bCs w:val="0"/>
          <w:color w:val="000000" w:themeColor="text1"/>
          <w:spacing w:val="-13"/>
          <w:sz w:val="24"/>
          <w:highlight w:val="none"/>
          <w14:textFill>
            <w14:solidFill>
              <w14:schemeClr w14:val="tx1"/>
            </w14:solidFill>
          </w14:textFill>
        </w:rPr>
        <w:t xml:space="preserve"> 供应商</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在参加政府采购活动前3年内因违法经营被禁止在一定期限内参加政府采购活动，期限届满的，可以参加政府采购活动。</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2.6单位负责人为同一人或者存在直接控股、管理关系的不同供应商，不得参加同一合同项下的政府采购活动。</w:t>
      </w:r>
      <w:r/>
    </w:p>
    <w:p>
      <w:pPr>
        <w:pStyle w:val="80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2.7不同投标人的法定代表人或委托代理人有夫妻、直系血亲关系的，不得参加本次采购活动。</w:t>
      </w:r>
      <w:r/>
    </w:p>
    <w:p>
      <w:pPr>
        <w:pStyle w:val="80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2.8 单位负责人为同一人或者存在直接控股、管理关系的不同供应商，不得参加同一合同项下的政府采购活动。</w:t>
      </w:r>
      <w:r/>
    </w:p>
    <w:p>
      <w:pPr>
        <w:pStyle w:val="80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2.9为采购项目提供整体设计、规范编制或者项目管理、监理、检测等服务的供应商，不得再参加该采购项目的其他采购活动。</w:t>
      </w:r>
      <w:r/>
    </w:p>
    <w:p>
      <w:pPr>
        <w:pStyle w:val="80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2.10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三、获取招标文件</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3.1时间：自招标公告发布之日起5个工作日</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3.2地点：苏采云系统网上注册登记成功后在系统内免费下载</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3.3方式：</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3.4售价：0.00元。</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四、提交投标文件截止时间、开标时间和地点</w:t>
      </w:r>
      <w:r/>
    </w:p>
    <w:p>
      <w:pPr>
        <w:ind w:firstLine="512"/>
        <w:spacing w:line="360" w:lineRule="auto"/>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4.1</w:t>
      </w:r>
      <w:r>
        <w:rPr>
          <w:rFonts w:hint="default" w:ascii="Times New Roman" w:hAnsi="Times New Roman" w:eastAsia="仿宋" w:cs="Times New Roman"/>
          <w:color w:val="000000" w:themeColor="text1"/>
          <w:spacing w:val="15"/>
          <w:sz w:val="24"/>
          <w:highlight w:val="none"/>
          <w:shd w:val="clear" w:color="auto" w:fill="ffffff"/>
          <w14:textFill>
            <w14:solidFill>
              <w14:schemeClr w14:val="tx1"/>
            </w14:solidFill>
          </w14:textFill>
        </w:rPr>
        <w:t xml:space="preserve">提交投标文件截止时间、开标时间：</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2026</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年</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7</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月</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23</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日1</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点</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0分</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（北京时间）</w:t>
      </w:r>
      <w:r/>
    </w:p>
    <w:p>
      <w:pPr>
        <w:pStyle w:val="827"/>
        <w:ind w:firstLine="540"/>
        <w:spacing w:before="0" w:beforeAutospacing="0" w:after="0" w:afterAutospacing="0" w:line="360" w:lineRule="auto"/>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t xml:space="preserve">4.2提交投标文件地点：江苏省政府采购管理交易系统（苏采云）（以下简称“苏采云”）（网址： http://jszfcg.jsczt.cn/）</w:t>
      </w:r>
      <w:r/>
    </w:p>
    <w:p>
      <w:pPr>
        <w:pStyle w:val="827"/>
        <w:ind w:firstLine="540"/>
        <w:spacing w:before="0" w:beforeAutospacing="0" w:after="0" w:afterAutospacing="0" w:line="360" w:lineRule="auto"/>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t xml:space="preserve">4.3开标地点：“苏采云”网上开标大厅。</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五、公告期限</w:t>
      </w:r>
      <w:r/>
    </w:p>
    <w:p>
      <w:pPr>
        <w:ind w:firstLine="512"/>
        <w:spacing w:line="360" w:lineRule="auto"/>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自本公告发布之日起5个工作日。</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六、其他补充事宜</w:t>
      </w:r>
      <w:r/>
    </w:p>
    <w:p>
      <w:pPr>
        <w:ind w:firstLine="480"/>
        <w:spacing w:line="360" w:lineRule="auto"/>
        <w:shd w:val="clear" w:color="auto" w:fill="ffffff" w:themeFill="background1"/>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6.1</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本采购公告在江苏政府采购网（http://www.ccgp-jiangsu.gov.cn/）、南京公共采购信息网（https://njgc.jfh.com/）公示发布，敬请各供应商关注</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pStyle w:val="994"/>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6.</w:t>
      </w:r>
      <w:r>
        <w:rPr>
          <w:rFonts w:hint="default" w:ascii="Times New Roman" w:hAnsi="Times New Roman" w:eastAsia="仿宋" w:cs="Times New Roman"/>
          <w:color w:val="000000" w:themeColor="text1"/>
          <w:sz w:val="24"/>
          <w:highlight w:val="none"/>
          <w14:textFill>
            <w14:solidFill>
              <w14:schemeClr w14:val="tx1"/>
            </w14:solidFill>
          </w14:textFill>
        </w:rPr>
        <w:t xml:space="preserve">3勘查现场</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：采购人不集中组织，供应商可自行考察。</w:t>
      </w:r>
      <w:r/>
    </w:p>
    <w:p>
      <w:pPr>
        <w:ind w:firstLine="480"/>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6.4</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潜在供应商访问政府采购管理交易系统（苏采云）的网络地址和方法：</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7）苏采云系统使用谷歌浏览器参与不见面开标。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“苏采云”南京地区客服热线025-83633744、025-83633743。</w:t>
      </w:r>
      <w:r/>
    </w:p>
    <w:p>
      <w:pPr>
        <w:ind w:firstLine="482"/>
        <w:spacing w:line="360" w:lineRule="auto"/>
        <w:shd w:val="clear" w:color="auto" w:fill="ffffff" w:themeFill="background1"/>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6.</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5政府采购信用承诺</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根据《关于在政府采购活动中推行信用承诺制的通知》宁财购通〔2021〕5号规定，</w:t>
      </w:r>
      <w:r>
        <w:rPr>
          <w:rFonts w:hint="default" w:ascii="Times New Roman" w:hAnsi="Times New Roman" w:eastAsia="仿宋" w:cs="Times New Roman"/>
          <w:color w:val="000000" w:themeColor="text1"/>
          <w:sz w:val="24"/>
          <w:highlight w:val="none"/>
          <w14:textFill>
            <w14:solidFill>
              <w14:schemeClr w14:val="tx1"/>
            </w14:solidFill>
          </w14:textFill>
        </w:rPr>
        <w:t xml:space="preserve">参加</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南京地区采购活动的供应商，应以书面形式向采购人或政府采购代理机构作出信用承诺。供应商应尽早做好承诺工作，点击“南京公共采购信息网”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000000" w:themeColor="text1"/>
          <w:sz w:val="24"/>
          <w:highlight w:val="none"/>
          <w14:textFill>
            <w14:solidFill>
              <w14:schemeClr w14:val="tx1"/>
            </w14:solidFill>
          </w14:textFill>
        </w:rPr>
        <w:t xml:space="preserve">首页</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由</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法定代表人</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签字</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并加</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盖单位</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电子</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公章，</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随电子投标文件一并递交。</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（1）符合国家相关规定的财务状况报告；</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（2）依法缴纳税收的证明材料；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（3）依法缴纳社会保障资金的证明材料；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（4）具备履行政府采购合同所必需的设备和专业技术能力的证明材料；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（5）参加政府采购活动前三年内在经营活动中没有重大违法记录的证明材料；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（6）未被列入失信被执行人、重大税收违法失信主体、政府采购严重违法失信行为记录名单的证明材料。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供应商涉及以下情形的，不适用信用承诺：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（1）供应商被列入严重失信主体名单；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（2）被相关监管部门作出行政处罚且尚在处罚有效期内；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（3）其他法律、行政法规规定的不适用信用承诺的情形。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6.6采购项目需要落实的政府采购政策</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（1）政府采购促进中小企业发展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（2）政府采购支持监狱企业发展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（3）政府采购促进残疾人就业</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（4）政府采购鼓励采购节能环保产品</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（5）信息安全产品政策</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（6）进口产品政策</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七、对本次招标提出询问，请按以下方式联系</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7.1采购人信息</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名称：南京市雨花台区机关事务管理服务中心</w:t>
      </w:r>
      <w:r/>
    </w:p>
    <w:p>
      <w:pPr>
        <w:ind w:firstLine="480"/>
        <w:spacing w:line="360" w:lineRule="auto"/>
        <w:widowControl/>
        <w:rPr>
          <w:rFonts w:hint="default" w:ascii="Times New Roman" w:hAnsi="Times New Roman" w:eastAsia="仿宋" w:cs="Times New Roman"/>
          <w:color w:val="000000" w:themeColor="text1"/>
          <w:spacing w:val="-2"/>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地址：</w:t>
      </w:r>
      <w:r>
        <w:rPr>
          <w:rFonts w:hint="default" w:ascii="Times New Roman" w:hAnsi="Times New Roman" w:eastAsia="仿宋" w:cs="Times New Roman"/>
          <w:color w:val="000000" w:themeColor="text1"/>
          <w:sz w:val="24"/>
          <w:highlight w:val="none"/>
          <w14:textFill>
            <w14:solidFill>
              <w14:schemeClr w14:val="tx1"/>
            </w14:solidFill>
          </w14:textFill>
        </w:rPr>
        <w:t xml:space="preserve">南京市雨花台区雨花南路2号 </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联系人：于科</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联系电话：025-52883018</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7.2采购代理机构信息</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名称：源成工程咨询（江苏南京）有限责任公司</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地址：南京市雨花台区花神大道23号1号楼西4F408室</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联系人：王工</w:t>
      </w:r>
      <w:r/>
    </w:p>
    <w:p>
      <w:pPr>
        <w:ind w:firstLine="480"/>
        <w:spacing w:line="360" w:lineRule="auto"/>
        <w:widowControl/>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联系方式：025-86803150</w:t>
      </w: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783"/>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bookmarkStart w:id="7" w:name="_Toc6768"/>
      <w:r/>
      <w:bookmarkStart w:id="8" w:name="_Toc20990"/>
      <w:r/>
      <w:bookmarkStart w:id="9" w:name="_Toc452625218"/>
      <w:r>
        <w:rPr>
          <w:rFonts w:hint="default" w:ascii="Times New Roman" w:hAnsi="Times New Roman" w:eastAsia="仿宋" w:cs="Times New Roman"/>
          <w:color w:val="000000" w:themeColor="text1"/>
          <w:highlight w:val="none"/>
          <w14:textFill>
            <w14:solidFill>
              <w14:schemeClr w14:val="tx1"/>
            </w14:solidFill>
          </w14:textFill>
        </w:rPr>
        <w:t xml:space="preserve">投标人须知</w:t>
      </w:r>
      <w:bookmarkEnd w:id="7"/>
      <w:r/>
      <w:bookmarkEnd w:id="8"/>
      <w:r/>
      <w:bookmarkEnd w:id="9"/>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0" w:name="_Toc28809"/>
      <w:r/>
      <w:bookmarkStart w:id="11" w:name="_Toc2608"/>
      <w:r/>
      <w:bookmarkStart w:id="12" w:name="_Toc30970"/>
      <w:r/>
      <w:bookmarkStart w:id="13" w:name="_Toc3197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一、总 则</w:t>
      </w:r>
      <w:bookmarkEnd w:id="10"/>
      <w:r/>
      <w:bookmarkEnd w:id="11"/>
      <w:r/>
      <w:bookmarkEnd w:id="12"/>
      <w:r/>
      <w:bookmarkEnd w:id="13"/>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4" w:name="_Toc26234"/>
      <w:r/>
      <w:bookmarkStart w:id="15" w:name="_Toc11829"/>
      <w:r/>
      <w:bookmarkStart w:id="16" w:name="_Toc25139"/>
      <w:r/>
      <w:bookmarkStart w:id="17" w:name="_Toc1524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1.适用法律</w:t>
      </w:r>
      <w:bookmarkEnd w:id="14"/>
      <w:r/>
      <w:bookmarkEnd w:id="15"/>
      <w:r/>
      <w:bookmarkEnd w:id="16"/>
      <w:r/>
      <w:bookmarkEnd w:id="1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8" w:name="_Toc28460"/>
      <w:r/>
      <w:bookmarkStart w:id="19" w:name="_Toc10278"/>
      <w:r/>
      <w:bookmarkStart w:id="20" w:name="_Toc24623"/>
      <w:r/>
      <w:bookmarkStart w:id="21" w:name="_Toc1231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2.定义</w:t>
      </w:r>
      <w:bookmarkEnd w:id="18"/>
      <w:r/>
      <w:bookmarkEnd w:id="19"/>
      <w:r/>
      <w:bookmarkEnd w:id="20"/>
      <w:r/>
      <w:bookmarkEnd w:id="21"/>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2.1“采购人”是指依法进行政府采购的国家机关、事业单位、团体组织。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2.4“货物和服务”指本招标文件中所述</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产品</w:t>
      </w:r>
      <w:r>
        <w:rPr>
          <w:rFonts w:hint="default" w:ascii="Times New Roman" w:hAnsi="Times New Roman" w:eastAsia="仿宋" w:cs="Times New Roman"/>
          <w:color w:val="000000" w:themeColor="text1"/>
          <w:sz w:val="24"/>
          <w:highlight w:val="none"/>
          <w14:textFill>
            <w14:solidFill>
              <w14:schemeClr w14:val="tx1"/>
            </w14:solidFill>
          </w14:textFill>
        </w:rPr>
        <w:t xml:space="preserve">及相关服务。</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2.5“用户或使用单位”是指使用货物，接受服务的单位。</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22" w:name="_Toc23508"/>
      <w:r/>
      <w:bookmarkStart w:id="23" w:name="_Toc22315"/>
      <w:r/>
      <w:bookmarkStart w:id="24" w:name="_Toc22430"/>
      <w:r/>
      <w:bookmarkStart w:id="25" w:name="_Toc3081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3.政策功能</w:t>
      </w:r>
      <w:bookmarkEnd w:id="22"/>
      <w:r/>
      <w:bookmarkEnd w:id="23"/>
      <w:r/>
      <w:bookmarkEnd w:id="24"/>
      <w:r/>
      <w:bookmarkEnd w:id="25"/>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3.6进口产品政策</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（2）允许进口产品参加的，满足需求的国内产品可以参加。</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3.7未按要求提供相关材料的，不享受相关政策。</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26" w:name="_Toc9044"/>
      <w:r/>
      <w:bookmarkStart w:id="27" w:name="_Toc25498"/>
      <w:r/>
      <w:bookmarkStart w:id="28" w:name="_Toc4724"/>
      <w:r/>
      <w:bookmarkStart w:id="29" w:name="_Toc2622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二、招标文件构成</w:t>
      </w:r>
      <w:bookmarkEnd w:id="26"/>
      <w:r/>
      <w:bookmarkEnd w:id="27"/>
      <w:r/>
      <w:bookmarkEnd w:id="28"/>
      <w:r/>
      <w:bookmarkEnd w:id="29"/>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30" w:name="_Toc21886"/>
      <w:r/>
      <w:bookmarkStart w:id="31" w:name="_Toc32599"/>
      <w:r/>
      <w:bookmarkStart w:id="32" w:name="_Toc21181"/>
      <w:r/>
      <w:bookmarkStart w:id="33" w:name="_Toc3010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4.招标文件组成</w:t>
      </w:r>
      <w:bookmarkEnd w:id="30"/>
      <w:r/>
      <w:bookmarkEnd w:id="31"/>
      <w:r/>
      <w:bookmarkEnd w:id="32"/>
      <w:r/>
      <w:bookmarkEnd w:id="33"/>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4.1招标文件包括以下主要内容：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（1）投标邀请；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（2）投标人须知；</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（3）评标标准；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（4）采购需求；</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（5）合同主要条款及格式；</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（6）投标文件格式及附件。</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34" w:name="_Toc760"/>
      <w:r/>
      <w:bookmarkStart w:id="35" w:name="_Toc1163"/>
      <w:r/>
      <w:bookmarkStart w:id="36" w:name="_Toc9726"/>
      <w:r/>
      <w:bookmarkStart w:id="37" w:name="_Toc662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5.招标文件的澄清或者修改</w:t>
      </w:r>
      <w:bookmarkEnd w:id="34"/>
      <w:r/>
      <w:bookmarkEnd w:id="35"/>
      <w:r/>
      <w:bookmarkEnd w:id="36"/>
      <w:r/>
      <w:bookmarkEnd w:id="3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38" w:name="_Toc20766"/>
      <w:r/>
      <w:bookmarkStart w:id="39" w:name="_Toc19172"/>
      <w:r/>
      <w:bookmarkStart w:id="40" w:name="_Toc25478"/>
      <w:r/>
      <w:bookmarkStart w:id="41" w:name="_Toc232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三、投标文件的编制</w:t>
      </w:r>
      <w:bookmarkEnd w:id="38"/>
      <w:r/>
      <w:bookmarkEnd w:id="39"/>
      <w:r/>
      <w:bookmarkEnd w:id="40"/>
      <w:r/>
      <w:bookmarkEnd w:id="41"/>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42" w:name="_Toc10293"/>
      <w:r/>
      <w:bookmarkStart w:id="43" w:name="_Toc29450"/>
      <w:r/>
      <w:bookmarkStart w:id="44" w:name="_Toc15916"/>
      <w:r/>
      <w:bookmarkStart w:id="45" w:name="_Toc2236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6.投标文件的语言、计量单位、货币和编制</w:t>
      </w:r>
      <w:bookmarkEnd w:id="42"/>
      <w:r/>
      <w:bookmarkEnd w:id="43"/>
      <w:r/>
      <w:bookmarkEnd w:id="44"/>
      <w:r/>
      <w:bookmarkEnd w:id="45"/>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6.2投标人所使用的计量单位应为国家法定计量单位。</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6.3投标人应用人民币报价。投标产品如果是进口产品的，应提供人民币与</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外币之间的汇率。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6.4投标文件应按照招标文件的规定编写并制作目录。</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6.5投标人应在投标文件中写清相应的项目编号、项目名称、投标人全称、地址、电话、传真等。</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6.6</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投标人根据招标文件载明的标的采购项目实际情况，拟在中标后将中标项目的非主体、非关键性工作交由他人完成的，应当在投标文件中载明。</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46" w:name="_Toc27292"/>
      <w:r/>
      <w:bookmarkStart w:id="47" w:name="_Toc2836"/>
      <w:r/>
      <w:bookmarkStart w:id="48" w:name="_Toc27918"/>
      <w:r/>
      <w:bookmarkStart w:id="49" w:name="_Toc380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7.联合体投标（本项目不接受）</w:t>
      </w:r>
      <w:bookmarkEnd w:id="46"/>
      <w:r/>
      <w:bookmarkEnd w:id="47"/>
      <w:r/>
      <w:bookmarkEnd w:id="48"/>
      <w:r/>
      <w:bookmarkEnd w:id="49"/>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50" w:name="_Toc20264"/>
      <w:r/>
      <w:bookmarkStart w:id="51" w:name="_Toc27634"/>
      <w:r/>
      <w:bookmarkStart w:id="52" w:name="_Toc21507"/>
      <w:r/>
      <w:bookmarkStart w:id="53" w:name="_Toc3227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8.投标文件的组成</w:t>
      </w:r>
      <w:bookmarkEnd w:id="50"/>
      <w:r/>
      <w:bookmarkEnd w:id="51"/>
      <w:r/>
      <w:bookmarkEnd w:id="52"/>
      <w:r/>
      <w:bookmarkEnd w:id="53"/>
      <w:r/>
      <w:r/>
    </w:p>
    <w:p>
      <w:pPr>
        <w:ind w:firstLine="480"/>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对带</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星号（“</w:t>
      </w:r>
      <w:r>
        <w:rPr>
          <w:rFonts w:hint="default" w:ascii="Times New Roman" w:hAnsi="Times New Roman" w:eastAsia="仿宋" w:cs="Times New Roman"/>
          <w:color w:val="000000" w:themeColor="text1"/>
          <w:spacing w:val="-2"/>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54" w:name="_Toc5675"/>
      <w:r/>
      <w:bookmarkStart w:id="55" w:name="_Toc15149"/>
      <w:r/>
      <w:bookmarkStart w:id="56" w:name="_Toc29721"/>
      <w:r/>
      <w:bookmarkStart w:id="57" w:name="_Toc1572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9.投标文件的商务内容</w:t>
      </w:r>
      <w:bookmarkEnd w:id="54"/>
      <w:r/>
      <w:bookmarkEnd w:id="55"/>
      <w:r/>
      <w:bookmarkEnd w:id="56"/>
      <w:r/>
      <w:bookmarkEnd w:id="5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bookmarkStart w:id="58" w:name="_Toc26083"/>
      <w:r/>
      <w:bookmarkStart w:id="59" w:name="_Toc26516"/>
      <w:r>
        <w:rPr>
          <w:rFonts w:hint="default" w:ascii="Times New Roman" w:hAnsi="Times New Roman" w:eastAsia="仿宋" w:cs="Times New Roman"/>
          <w:color w:val="000000" w:themeColor="text1"/>
          <w:sz w:val="24"/>
          <w:highlight w:val="none"/>
          <w14:textFill>
            <w14:solidFill>
              <w14:schemeClr w14:val="tx1"/>
            </w14:solidFill>
          </w14:textFill>
        </w:rPr>
        <w:t xml:space="preserve">9.1商务部分内容是证明投标人有资格参加投标和中标后有能力履行合同的文件，这些文件应能满足招标的要求，包括但不限于下列文件（</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（1）-（7）所述材料不得有缺失或提供不全或不满足招标文件的实质性要求</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w:t>
      </w:r>
      <w:r>
        <w:rPr>
          <w:rFonts w:hint="default" w:ascii="Times New Roman" w:hAnsi="Times New Roman" w:eastAsia="仿宋" w:cs="Times New Roman"/>
          <w:color w:val="000000" w:themeColor="text1"/>
          <w:sz w:val="27"/>
          <w:szCs w:val="27"/>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w:t>
      </w:r>
      <w:r>
        <w:rPr>
          <w:rFonts w:hint="eastAsia" w:eastAsia="仿宋" w:cs="Times New Roman"/>
          <w:color w:val="000000" w:themeColor="text1"/>
          <w:sz w:val="24"/>
          <w:highlight w:val="none"/>
          <w:lang w:val="en-US" w:eastAsia="zh-CN"/>
          <w14:textFill>
            <w14:solidFill>
              <w14:schemeClr w14:val="tx1"/>
            </w14:solidFill>
          </w14:textFill>
        </w:rPr>
        <w:t xml:space="preserve">函</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格式见附件</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w:t>
      </w:r>
      <w:r>
        <w:rPr>
          <w:rFonts w:hint="default" w:ascii="Times New Roman" w:hAnsi="Times New Roman" w:eastAsia="仿宋" w:cs="Times New Roman"/>
          <w:color w:val="000000" w:themeColor="text1"/>
          <w:sz w:val="27"/>
          <w:szCs w:val="27"/>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法</w:t>
      </w:r>
      <w:r>
        <w:rPr>
          <w:rFonts w:hint="eastAsia" w:eastAsia="仿宋"/>
          <w:color w:val="000000" w:themeColor="text1"/>
          <w:sz w:val="24"/>
          <w:highlight w:val="none"/>
          <w:lang w:val="en-US" w:eastAsia="zh-CN"/>
          <w14:textFill>
            <w14:solidFill>
              <w14:schemeClr w14:val="tx1"/>
            </w14:solidFill>
          </w14:textFill>
        </w:rPr>
        <w:t xml:space="preserve">人授权书及被授权人</w:t>
      </w:r>
      <w:r>
        <w:rPr>
          <w:rFonts w:eastAsia="仿宋"/>
          <w:color w:val="000000" w:themeColor="text1"/>
          <w:sz w:val="24"/>
          <w:highlight w:val="none"/>
          <w14:textFill>
            <w14:solidFill>
              <w14:schemeClr w14:val="tx1"/>
            </w14:solidFill>
          </w14:textFill>
        </w:rPr>
        <w:t xml:space="preserve">社保证明材料</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格式见附件</w:t>
      </w:r>
      <w:r>
        <w:rPr>
          <w:rFonts w:hint="eastAsia" w:eastAsia="仿宋" w:cs="Times New Roman"/>
          <w:b/>
          <w:bCs/>
          <w:color w:val="000000" w:themeColor="text1"/>
          <w:sz w:val="24"/>
          <w:highlight w:val="none"/>
          <w:lang w:eastAsia="zh-CN"/>
          <w14:textFill>
            <w14:solidFill>
              <w14:schemeClr w14:val="tx1"/>
            </w14:solidFill>
          </w14:textFill>
        </w:rPr>
        <w:t xml:space="preserve">，</w:t>
      </w:r>
      <w:r>
        <w:rPr>
          <w:rFonts w:hint="eastAsia" w:eastAsia="仿宋" w:cs="Times New Roman"/>
          <w:b/>
          <w:bCs/>
          <w:color w:val="000000" w:themeColor="text1"/>
          <w:sz w:val="24"/>
          <w:highlight w:val="none"/>
          <w:lang w:val="en-US" w:eastAsia="zh-CN"/>
          <w14:textFill>
            <w14:solidFill>
              <w14:schemeClr w14:val="tx1"/>
            </w14:solidFill>
          </w14:textFill>
        </w:rPr>
        <w:t xml:space="preserve">格式以采购文件为准</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w:t>
      </w:r>
      <w:r>
        <w:rPr>
          <w:rFonts w:hint="default" w:ascii="Times New Roman" w:hAnsi="Times New Roman" w:eastAsia="仿宋" w:cs="Times New Roman"/>
          <w:color w:val="000000" w:themeColor="text1"/>
          <w:sz w:val="27"/>
          <w:szCs w:val="27"/>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法人或者其他组织的营业执照等证明文件：</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bookmarkStart w:id="60" w:name="_Toc24100"/>
      <w:r>
        <w:rPr>
          <w:rFonts w:hint="default" w:ascii="Times New Roman" w:hAnsi="Times New Roman" w:eastAsia="仿宋" w:cs="Times New Roman"/>
          <w:color w:val="000000" w:themeColor="text1"/>
          <w:sz w:val="24"/>
          <w:highlight w:val="none"/>
          <w14:textFill>
            <w14:solidFill>
              <w14:schemeClr w14:val="tx1"/>
            </w14:solidFill>
          </w14:textFill>
        </w:rPr>
        <w:t xml:space="preserve">（4）★第一章投标邀请中2.3采购人根据采购项目的特殊要求规定的特定资格条件证明文件；</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w:t>
      </w:r>
      <w:r>
        <w:rPr>
          <w:rFonts w:hint="default" w:ascii="Times New Roman" w:hAnsi="Times New Roman" w:eastAsia="仿宋" w:cs="Times New Roman"/>
          <w:color w:val="000000" w:themeColor="text1"/>
          <w:sz w:val="27"/>
          <w:szCs w:val="27"/>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开标一览表（格式见附件）</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（6）★《南京市政府采购供应商信用记录表暨信用承诺书》（应由法定代表人</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签字</w:t>
      </w:r>
      <w:r>
        <w:rPr>
          <w:rFonts w:hint="default" w:ascii="Times New Roman" w:hAnsi="Times New Roman" w:eastAsia="仿宋" w:cs="Times New Roman"/>
          <w:color w:val="000000" w:themeColor="text1"/>
          <w:sz w:val="24"/>
          <w:highlight w:val="none"/>
          <w14:textFill>
            <w14:solidFill>
              <w14:schemeClr w14:val="tx1"/>
            </w14:solidFill>
          </w14:textFill>
        </w:rPr>
        <w:t xml:space="preserve">并加</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盖</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供应商电子</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公章</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w:t>
      </w:r>
      <w:r>
        <w:rPr>
          <w:rFonts w:eastAsia="仿宋"/>
          <w:color w:val="000000" w:themeColor="text1"/>
          <w:sz w:val="24"/>
          <w:highlight w:val="none"/>
          <w14:textFill>
            <w14:solidFill>
              <w14:schemeClr w14:val="tx1"/>
            </w14:solidFill>
          </w14:textFill>
        </w:rPr>
        <w:t xml:space="preserve">商务</w:t>
      </w:r>
      <w:r>
        <w:rPr>
          <w:rFonts w:hint="eastAsia" w:eastAsia="仿宋"/>
          <w:color w:val="000000" w:themeColor="text1"/>
          <w:sz w:val="24"/>
          <w:highlight w:val="none"/>
          <w:lang w:val="en-US" w:eastAsia="zh-CN"/>
          <w14:textFill>
            <w14:solidFill>
              <w14:schemeClr w14:val="tx1"/>
            </w14:solidFill>
          </w14:textFill>
        </w:rPr>
        <w:t xml:space="preserve">响应</w:t>
      </w:r>
      <w:r>
        <w:rPr>
          <w:rFonts w:eastAsia="仿宋"/>
          <w:color w:val="000000" w:themeColor="text1"/>
          <w:sz w:val="24"/>
          <w:highlight w:val="none"/>
          <w14:textFill>
            <w14:solidFill>
              <w14:schemeClr w14:val="tx1"/>
            </w14:solidFill>
          </w14:textFill>
        </w:rPr>
        <w:t xml:space="preserve">偏离表</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（8）《分项报价表》</w:t>
      </w:r>
      <w:r/>
    </w:p>
    <w:p>
      <w:pPr>
        <w:ind w:firstLine="480"/>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（9）《中小企业声明函》；</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（10）第三章评标标准中对应的所需证明材料（如有自行添加）；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（11）要求采购人提供的配合（如有自拟并自行添加）；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（12）其他（投标人认为有必要提供的声明和文件，如有，自行拟定并添加）。</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1" w:name="_Toc2986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10.投标文件的技术内容</w:t>
      </w:r>
      <w:bookmarkEnd w:id="58"/>
      <w:r/>
      <w:bookmarkEnd w:id="59"/>
      <w:r/>
      <w:bookmarkEnd w:id="60"/>
      <w:r/>
      <w:bookmarkEnd w:id="61"/>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技术部分</w:t>
      </w:r>
      <w:r>
        <w:rPr>
          <w:rFonts w:hint="default" w:ascii="Times New Roman" w:hAnsi="Times New Roman" w:eastAsia="仿宋" w:cs="Times New Roman"/>
          <w:color w:val="000000" w:themeColor="text1"/>
          <w:sz w:val="24"/>
          <w:highlight w:val="none"/>
          <w14:textFill>
            <w14:solidFill>
              <w14:schemeClr w14:val="tx1"/>
            </w14:solidFill>
          </w14:textFill>
        </w:rPr>
        <w:t xml:space="preserve">内容</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是证明</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投标人提供的货物和服务是合格的、并符合招标文件要求的证明文件，以及</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对货物和服务的详细说明，这些文件可以是文字资料、图纸、数据</w:t>
      </w:r>
      <w:r>
        <w:rPr>
          <w:rFonts w:hint="default" w:ascii="Times New Roman" w:hAnsi="Times New Roman" w:eastAsia="仿宋" w:cs="Times New Roman"/>
          <w:color w:val="000000" w:themeColor="text1"/>
          <w:sz w:val="24"/>
          <w:highlight w:val="none"/>
          <w14:textFill>
            <w14:solidFill>
              <w14:schemeClr w14:val="tx1"/>
            </w14:solidFill>
          </w14:textFill>
        </w:rPr>
        <w:t xml:space="preserve">或其他证明文件</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等。提供的货物和服务如与招标文件要求有不符之处，应说明其差别之所在。包括但不限于下列文件：</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（1）技术说明或服务方案；</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（2）</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eastAsia" w:eastAsia="仿宋"/>
          <w:color w:val="000000" w:themeColor="text1"/>
          <w:sz w:val="24"/>
          <w:highlight w:val="none"/>
          <w:lang w:val="en-US" w:eastAsia="zh-CN"/>
          <w14:textFill>
            <w14:solidFill>
              <w14:schemeClr w14:val="tx1"/>
            </w14:solidFill>
          </w14:textFill>
        </w:rPr>
        <w:t xml:space="preserve">技术响应</w:t>
      </w:r>
      <w:r>
        <w:rPr>
          <w:rFonts w:eastAsia="仿宋"/>
          <w:color w:val="000000" w:themeColor="text1"/>
          <w:sz w:val="24"/>
          <w:highlight w:val="none"/>
          <w14:textFill>
            <w14:solidFill>
              <w14:schemeClr w14:val="tx1"/>
            </w14:solidFill>
          </w14:textFill>
        </w:rPr>
        <w:t xml:space="preserve">偏离表</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（3）服务承诺；</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（4）投标人拟投入本项目的设备、人员情况一览表；</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（5）投标人认为需要提供的其他技术资料。</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2" w:name="_Toc29041"/>
      <w:r/>
      <w:bookmarkStart w:id="63" w:name="_Toc14012"/>
      <w:r/>
      <w:bookmarkStart w:id="64" w:name="_Toc32231"/>
      <w:r/>
      <w:bookmarkStart w:id="65" w:name="_Toc806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11.投标文件的价格内容</w:t>
      </w:r>
      <w:bookmarkEnd w:id="62"/>
      <w:r/>
      <w:bookmarkEnd w:id="63"/>
      <w:r/>
      <w:bookmarkEnd w:id="64"/>
      <w:r/>
      <w:bookmarkEnd w:id="65"/>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以</w:t>
      </w:r>
      <w:r>
        <w:rPr>
          <w:rFonts w:hint="default" w:ascii="Times New Roman" w:hAnsi="Times New Roman" w:eastAsia="仿宋" w:cs="Times New Roman"/>
          <w:color w:val="000000" w:themeColor="text1"/>
          <w:sz w:val="24"/>
          <w:highlight w:val="none"/>
          <w14:textFill>
            <w14:solidFill>
              <w14:schemeClr w14:val="tx1"/>
            </w14:solidFill>
          </w14:textFill>
        </w:rPr>
        <w:t xml:space="preserve">及投标人认为需要的其他费用等</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11.3投标人的任何错漏、优惠、竞争性报价不得作为减轻责任、减少服务、增加收费、降低质量的理由。</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无效投标处理</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pStyle w:val="80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（一）依据财库〔2026〕2号《关于推动解决政府采购异常低价问题的通知》：</w:t>
      </w:r>
      <w:r/>
    </w:p>
    <w:p>
      <w:pPr>
        <w:pStyle w:val="80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政府采购评审中出现下列情形之一的，评审委员会应当启动异常低价投标审查程序： </w:t>
      </w:r>
      <w:r/>
    </w:p>
    <w:p>
      <w:pPr>
        <w:pStyle w:val="80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1.投标报价低于全部通过符合性审查供应商投标报价平均值50%的，即投标报价&lt;全部通过符合性审查供应商投标报价平均值×50%； </w:t>
      </w:r>
      <w:r/>
    </w:p>
    <w:p>
      <w:pPr>
        <w:pStyle w:val="80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2.投标报价低于通过符合性审查的次低报价供应商投标报价50%的，即投标报价&lt;通过符合性审查的次低报价供应商投标报价×50%； </w:t>
      </w:r>
      <w:r/>
    </w:p>
    <w:p>
      <w:pPr>
        <w:pStyle w:val="80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3.投标报价低于采购项目最高限价45%的，即投标报价&lt;采购项目最高限价×45%； </w:t>
      </w:r>
      <w:r/>
    </w:p>
    <w:p>
      <w:pPr>
        <w:pStyle w:val="80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 </w:t>
      </w:r>
      <w:r/>
    </w:p>
    <w:p>
      <w:pPr>
        <w:pStyle w:val="80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采购人可以结合具体项目实际情况，提高上述第1项至第3项中启动异常低价投标审查的数值标准，但是最高不得超过65%。</w:t>
      </w:r>
      <w:r/>
    </w:p>
    <w:p>
      <w:pPr>
        <w:pStyle w:val="827"/>
        <w:ind w:firstLine="480"/>
        <w:spacing w:before="0" w:beforeAutospacing="0" w:after="0" w:afterAutospacing="0" w:line="360" w:lineRule="auto"/>
        <w:shd w:val="clear" w:color="auto" w:fill="ffffff"/>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 </w:t>
      </w:r>
      <w:r/>
    </w:p>
    <w:p>
      <w:pPr>
        <w:pStyle w:val="827"/>
        <w:ind w:firstLine="480"/>
        <w:spacing w:before="0" w:beforeAutospacing="0" w:after="0" w:afterAutospacing="0" w:line="360" w:lineRule="auto"/>
        <w:shd w:val="clear" w:color="auto" w:fill="ffffff"/>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11.5 投标人应在《开标一览表》《分项报价表》等标明投标货物和服务的单价、总价以及分项报价等。</w:t>
      </w:r>
      <w:r/>
    </w:p>
    <w:p>
      <w:pPr>
        <w:ind w:firstLine="480"/>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11.7本项目预算为：详见第一章</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6" w:name="_Toc18341"/>
      <w:r/>
      <w:bookmarkStart w:id="67" w:name="_Toc23784"/>
      <w:r/>
      <w:bookmarkStart w:id="68" w:name="_Toc20010"/>
      <w:r/>
      <w:bookmarkStart w:id="69" w:name="_Toc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12.投标文件的其他部分</w:t>
      </w:r>
      <w:bookmarkEnd w:id="66"/>
      <w:r/>
      <w:bookmarkEnd w:id="67"/>
      <w:r/>
      <w:bookmarkEnd w:id="68"/>
      <w:r/>
      <w:bookmarkEnd w:id="69"/>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12.1 其他部分由投标人根据编制投标文件需要提供的其他相关文件组成。</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12.2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如标书制作工具中格式和内容与“南京公共采购信息网、江苏政府采购网”发布的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文件不一致，以</w:t>
      </w:r>
      <w:r>
        <w:rPr>
          <w:rFonts w:hint="default" w:ascii="Times New Roman" w:hAnsi="Times New Roman" w:eastAsia="仿宋" w:cs="Times New Roman"/>
          <w:color w:val="000000" w:themeColor="text1"/>
          <w:sz w:val="24"/>
          <w:highlight w:val="none"/>
          <w14:textFill>
            <w14:solidFill>
              <w14:schemeClr w14:val="tx1"/>
            </w14:solidFill>
          </w14:textFill>
        </w:rPr>
        <w:t xml:space="preserve">上述网站</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发布的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文件为准。</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13.投标保证金（本项目无需缴纳投标保证金）</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14.投标有效期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14.1 自开标之日起</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90</w:t>
      </w:r>
      <w:r>
        <w:rPr>
          <w:rFonts w:hint="default" w:ascii="Times New Roman" w:hAnsi="Times New Roman" w:eastAsia="仿宋" w:cs="Times New Roman"/>
          <w:color w:val="000000" w:themeColor="text1"/>
          <w:sz w:val="24"/>
          <w:highlight w:val="none"/>
          <w14:textFill>
            <w14:solidFill>
              <w14:schemeClr w14:val="tx1"/>
            </w14:solidFill>
          </w14:textFill>
        </w:rPr>
        <w:t xml:space="preserve">天内投标有效</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70" w:name="_Toc7556"/>
      <w:r/>
      <w:bookmarkStart w:id="71" w:name="_Toc13101"/>
      <w:r/>
      <w:bookmarkStart w:id="72" w:name="_Toc24542"/>
      <w:r/>
      <w:bookmarkStart w:id="73" w:name="_Toc873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15.投标文件签署</w:t>
      </w:r>
      <w:bookmarkEnd w:id="70"/>
      <w:r/>
      <w:bookmarkEnd w:id="71"/>
      <w:r/>
      <w:bookmarkEnd w:id="72"/>
      <w:r/>
      <w:bookmarkEnd w:id="73"/>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15.1 投标文件应按照招标文件要求加盖电子公章，否则视为无效投标。</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74" w:name="_Toc32679"/>
      <w:r/>
      <w:bookmarkStart w:id="75" w:name="_Toc4625"/>
      <w:r/>
      <w:bookmarkStart w:id="76" w:name="_Toc5491"/>
      <w:r/>
      <w:bookmarkStart w:id="77" w:name="_Toc648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16.投标费用</w:t>
      </w:r>
      <w:bookmarkEnd w:id="74"/>
      <w:r/>
      <w:bookmarkEnd w:id="75"/>
      <w:r/>
      <w:bookmarkEnd w:id="76"/>
      <w:r/>
      <w:bookmarkEnd w:id="7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16.2 招标代理服务费：</w:t>
      </w:r>
      <w:r>
        <w:rPr>
          <w:rFonts w:hint="default" w:ascii="Times New Roman" w:hAnsi="Times New Roman" w:eastAsia="仿宋" w:cs="Times New Roman"/>
          <w:color w:val="000000" w:themeColor="text1"/>
          <w:spacing w:val="-4"/>
          <w:sz w:val="24"/>
          <w:highlight w:val="none"/>
          <w14:textFill>
            <w14:solidFill>
              <w14:schemeClr w14:val="tx1"/>
            </w14:solidFill>
          </w14:textFill>
        </w:rPr>
        <w:t xml:space="preserve">本</w:t>
      </w:r>
      <w:r>
        <w:rPr>
          <w:rFonts w:hint="default" w:ascii="Times New Roman" w:hAnsi="Times New Roman" w:eastAsia="仿宋" w:cs="Times New Roman"/>
          <w:color w:val="000000" w:themeColor="text1"/>
          <w:sz w:val="24"/>
          <w:highlight w:val="none"/>
          <w14:textFill>
            <w14:solidFill>
              <w14:schemeClr w14:val="tx1"/>
            </w14:solidFill>
          </w14:textFill>
        </w:rPr>
        <w:t xml:space="preserve">次招标代理费依据</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政府采购代理机构管理暂行办法</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财库〔2018〕2号</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第十五条，本项目代理费用由中标供应商支付。招标代理费</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参照</w:t>
      </w:r>
      <w:r>
        <w:rPr>
          <w:rFonts w:hint="default" w:ascii="Times New Roman" w:hAnsi="Times New Roman" w:eastAsia="仿宋" w:cs="Times New Roman"/>
          <w:color w:val="000000" w:themeColor="text1"/>
          <w:sz w:val="24"/>
          <w:highlight w:val="none"/>
          <w14:textFill>
            <w14:solidFill>
              <w14:schemeClr w14:val="tx1"/>
            </w14:solidFill>
          </w14:textFill>
        </w:rPr>
        <w:t xml:space="preserve">苏政采协〔2024〕20号文件收取，计费基础为年预算价</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招标代理服务费交纳方法：</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（1）交纳方式：银行网银、电汇等；</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（2）收款单位、开户银行及</w:t>
      </w:r>
      <w:r>
        <w:rPr>
          <w:rFonts w:hint="default" w:ascii="Times New Roman" w:hAnsi="Times New Roman" w:eastAsia="仿宋" w:cs="Times New Roman"/>
          <w:color w:val="000000" w:themeColor="text1"/>
          <w:sz w:val="24"/>
          <w:highlight w:val="none"/>
          <w14:textFill>
            <w14:solidFill>
              <w14:schemeClr w14:val="tx1"/>
            </w14:solidFill>
          </w14:textFill>
        </w:rPr>
        <w:t xml:space="preserve">账</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收款单位：源成工程咨询（江苏南京）有限责任公司</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开户银行：</w:t>
      </w:r>
      <w:r>
        <w:rPr>
          <w:rFonts w:hint="default" w:ascii="Times New Roman" w:hAnsi="Times New Roman" w:eastAsia="仿宋" w:cs="Times New Roman"/>
          <w:color w:val="000000" w:themeColor="text1"/>
          <w:sz w:val="24"/>
          <w:highlight w:val="none"/>
          <w14:textFill>
            <w14:solidFill>
              <w14:schemeClr w14:val="tx1"/>
            </w14:solidFill>
          </w14:textFill>
        </w:rPr>
        <w:t xml:space="preserve">交通银行南京软件大道支行</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账号： </w:t>
      </w:r>
      <w:r>
        <w:rPr>
          <w:rFonts w:hint="default" w:ascii="Times New Roman" w:hAnsi="Times New Roman" w:eastAsia="仿宋" w:cs="Times New Roman"/>
          <w:color w:val="000000" w:themeColor="text1"/>
          <w:sz w:val="24"/>
          <w:highlight w:val="none"/>
          <w14:textFill>
            <w14:solidFill>
              <w14:schemeClr w14:val="tx1"/>
            </w14:solidFill>
          </w14:textFill>
        </w:rPr>
        <w:t xml:space="preserve">320899991013000593407</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16.3开标公证费：无。</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78" w:name="_Toc22732"/>
      <w:r/>
      <w:bookmarkStart w:id="79" w:name="_Toc16676"/>
      <w:r/>
      <w:bookmarkStart w:id="80" w:name="_Toc19582"/>
      <w:r/>
      <w:bookmarkStart w:id="81" w:name="_Toc725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四、投标文件的递交</w:t>
      </w:r>
      <w:bookmarkEnd w:id="78"/>
      <w:r/>
      <w:bookmarkEnd w:id="79"/>
      <w:r/>
      <w:bookmarkEnd w:id="80"/>
      <w:r/>
      <w:bookmarkEnd w:id="81"/>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82" w:name="_Toc29494"/>
      <w:r/>
      <w:bookmarkStart w:id="83" w:name="_Toc25300"/>
      <w:r/>
      <w:bookmarkStart w:id="84" w:name="_Toc9850"/>
      <w:r/>
      <w:bookmarkStart w:id="85" w:name="_Toc3220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17.投标文件的递交</w:t>
      </w:r>
      <w:bookmarkEnd w:id="82"/>
      <w:r/>
      <w:bookmarkEnd w:id="83"/>
      <w:r/>
      <w:bookmarkEnd w:id="84"/>
      <w:r/>
      <w:bookmarkEnd w:id="85"/>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86" w:name="_Toc30591"/>
      <w:r/>
      <w:bookmarkStart w:id="87" w:name="_Toc9945"/>
      <w:r/>
      <w:bookmarkStart w:id="88" w:name="_Toc12325"/>
      <w:r/>
      <w:bookmarkStart w:id="89" w:name="_Toc2584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18.投标文件的解密</w:t>
      </w:r>
      <w:bookmarkEnd w:id="86"/>
      <w:r/>
      <w:bookmarkEnd w:id="87"/>
      <w:r/>
      <w:bookmarkEnd w:id="88"/>
      <w:r/>
      <w:bookmarkEnd w:id="89"/>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18.1 投标人应当按照《操作手册》规定，在“苏采云”系统规定的时间内对投标文件进行解密。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18.2 投标人应充分考虑网络环境、网络带宽等因素可能对投标产生的影响，如因投标人自身原因造成的电子投标文件解密不成功的，作无效投标处理。</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90" w:name="_Toc4796"/>
      <w:r/>
      <w:bookmarkStart w:id="91" w:name="_Toc7211"/>
      <w:r/>
      <w:bookmarkStart w:id="92" w:name="_Toc11609"/>
      <w:r/>
      <w:bookmarkStart w:id="93" w:name="_Toc1546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19.投标文件的修改和撤回</w:t>
      </w:r>
      <w:bookmarkEnd w:id="90"/>
      <w:r/>
      <w:bookmarkEnd w:id="91"/>
      <w:r/>
      <w:bookmarkEnd w:id="92"/>
      <w:r/>
      <w:bookmarkEnd w:id="93"/>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19.1投标人在投标截止时间之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19.2 投标截止时间之后，投标文件不得撤回。</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94" w:name="_Toc22258"/>
      <w:r/>
      <w:bookmarkStart w:id="95" w:name="_Toc9489"/>
      <w:r/>
      <w:bookmarkStart w:id="96" w:name="_Toc7890"/>
      <w:r/>
      <w:bookmarkStart w:id="97" w:name="_Toc1974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20.诚实信用</w:t>
      </w:r>
      <w:bookmarkEnd w:id="94"/>
      <w:r/>
      <w:bookmarkEnd w:id="95"/>
      <w:r/>
      <w:bookmarkEnd w:id="96"/>
      <w:r/>
      <w:bookmarkEnd w:id="9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98" w:name="_Toc2807"/>
      <w:r/>
      <w:bookmarkStart w:id="99" w:name="_Toc19835"/>
      <w:r/>
      <w:bookmarkStart w:id="100" w:name="_Toc26774"/>
      <w:r/>
      <w:bookmarkStart w:id="101" w:name="_Toc3116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五、开标、评标与定标</w:t>
      </w:r>
      <w:bookmarkEnd w:id="98"/>
      <w:r/>
      <w:bookmarkEnd w:id="99"/>
      <w:r/>
      <w:bookmarkEnd w:id="100"/>
      <w:r/>
      <w:bookmarkEnd w:id="101"/>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02" w:name="_Toc582"/>
      <w:r/>
      <w:bookmarkStart w:id="103" w:name="_Toc7767"/>
      <w:r/>
      <w:bookmarkStart w:id="104" w:name="_Toc24838"/>
      <w:r/>
      <w:bookmarkStart w:id="105" w:name="_Toc3143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21.开标</w:t>
      </w:r>
      <w:bookmarkEnd w:id="102"/>
      <w:r/>
      <w:bookmarkEnd w:id="103"/>
      <w:r/>
      <w:bookmarkEnd w:id="104"/>
      <w:r/>
      <w:bookmarkEnd w:id="105"/>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21.2 投标人在开标过程中涉及的投标文件解密、开标结果确认等工作，应按照《操作手册》规定执行。</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21.3投标人不足3家的，不得开标。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（1）招标文件存在不合理条款或者招标程序不符合规定的，采购人、采购代理机构改正后依法重新招标；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06" w:name="_Toc21331"/>
      <w:r/>
      <w:bookmarkStart w:id="107" w:name="_Toc13033"/>
      <w:r/>
      <w:bookmarkStart w:id="108" w:name="_Toc890"/>
      <w:r/>
      <w:bookmarkStart w:id="109" w:name="_Toc2771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22.评标</w:t>
      </w:r>
      <w:bookmarkEnd w:id="106"/>
      <w:r/>
      <w:bookmarkEnd w:id="107"/>
      <w:r/>
      <w:bookmarkEnd w:id="108"/>
      <w:r/>
      <w:bookmarkEnd w:id="109"/>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 评标委员会</w:t>
      </w:r>
      <w:r/>
    </w:p>
    <w:p>
      <w:pPr>
        <w:ind w:firstLine="482"/>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22.1.1</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评标委员会负责具体评标事务，并独立履行下列职责：</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（一）审查、评价投标文件是否符合招标文件的商务、技术等实质性要求；</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（二）要求投标人对投标文件有关事项作出澄清或者说明；</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（三）对投标文件进行比较和评价；</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（四）确定中标候选人名单，以及根据采购人委托直接确定中标人；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（五）向采购人、采购代理机构或者有关部门报告评标中发现的违法行为。</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22.1.2 </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评标委员会由</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采购人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代表和有关技术、经济等方面的专家组成，独立开展评审工作。</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  评标程序</w:t>
      </w:r>
      <w:r/>
    </w:p>
    <w:p>
      <w:pPr>
        <w:ind w:firstLine="482"/>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22.2.1 </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投标文件的资格性检查。</w:t>
      </w:r>
      <w:r>
        <w:rPr>
          <w:rFonts w:hint="default" w:ascii="Times New Roman" w:hAnsi="Times New Roman" w:eastAsia="仿宋" w:cs="Times New Roman"/>
          <w:color w:val="000000" w:themeColor="text1"/>
          <w:sz w:val="24"/>
          <w:highlight w:val="none"/>
          <w14:textFill>
            <w14:solidFill>
              <w14:schemeClr w14:val="tx1"/>
            </w14:solidFill>
          </w14:textFill>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22.2.2投标文件的符合性审查</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（1）投标人在“苏采云”系统规定的时间内未成功解密电子投标文件的；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（2）投标人未按照招标文件要求上传电子投标文件的；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（3）同一投标人提交两个（含两个）以上不同的投标报价的；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（4）投标文件未按照招标文件要求加盖电子公章的；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（5）不具备招标文件中规定的资格要求的；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（6）报价超过招标文件中规定的预算金额或者最高限价的；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（7）投标文件含有采购人不能接受的附加条件的；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lang w:val="zh-CN"/>
          <w14:textFill>
            <w14:solidFill>
              <w14:schemeClr w14:val="tx1"/>
            </w14:solidFill>
          </w14:textFill>
        </w:rPr>
      </w:pP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8</w:t>
      </w: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（9）投标文件内容不全或不符合招标文件中规定的其他实质性要求的；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（10）现行法律法规、规章和招标文件规定的其他无效情形。</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22.2.2.1 实质性要求是指本招标文件中用带星号（“</w:t>
      </w:r>
      <w:r>
        <w:rPr>
          <w:rFonts w:hint="default" w:ascii="Times New Roman" w:hAnsi="Times New Roman" w:eastAsia="仿宋" w:cs="Times New Roman"/>
          <w:color w:val="000000" w:themeColor="text1"/>
          <w:spacing w:val="-2"/>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”）、“必须”或“应（应当）”等其他文字说明的商务和技术要求。</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22.2.2.3有下列情形之一的予以废标：</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（1）符合专业条件的投标人或者对招标文件作实质性响应的投标人不足三家的；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（2）出现影响采购公正的违法、违规行为的；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（3）投标人的报价均超过了采购预算，采购人不能支付的；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（4）因苏采云系统故障造成开标不成功的；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（5）因重大变故，采购任务取消的。</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澄清有关问题</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评委会并非对每个投标人都做澄清要求。</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22.2.3.4投标文件报价出现前后不一致的，除招标文件另有规定外，按照下列规定修正：</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22.2.3.5投标人在开、评标全过程中应</w:t>
      </w:r>
      <w:r>
        <w:rPr>
          <w:rFonts w:hint="eastAsia" w:eastAsia="仿宋" w:cs="Times New Roman"/>
          <w:color w:val="000000" w:themeColor="text1"/>
          <w:sz w:val="24"/>
          <w:highlight w:val="none"/>
          <w:lang w:eastAsia="zh-CN"/>
          <w14:textFill>
            <w14:solidFill>
              <w14:schemeClr w14:val="tx1"/>
            </w14:solidFill>
          </w14:textFill>
        </w:rPr>
        <w:t xml:space="preserve">保持通信畅通</w:t>
      </w:r>
      <w:r>
        <w:rPr>
          <w:rFonts w:hint="default" w:ascii="Times New Roman" w:hAnsi="Times New Roman" w:eastAsia="仿宋" w:cs="Times New Roman"/>
          <w:color w:val="000000" w:themeColor="text1"/>
          <w:sz w:val="24"/>
          <w:highlight w:val="none"/>
          <w14:textFill>
            <w14:solidFill>
              <w14:schemeClr w14:val="tx1"/>
            </w14:solidFill>
          </w14:textFill>
        </w:rPr>
        <w:t xml:space="preserve">，及时登录苏采云系统查阅、答复相关信息，并安排专人与代理机构及评委会联系。</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投标人不能证明其报价合理性的，评标委员会将其作为无效投标处理。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22.2.4</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比较与评价。</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22.3 评标方法和标准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评审因素，包括价格、技术、商务等。</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评标总得分＝F1×A1＋F2×A2＋……＋Fn×An</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F1、F2……Fn分别为各项评审因素的得分；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A1、A2、……An 分别为各项评审因素所占的权重（A1＋A2＋……＋An＝1）。</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因落实政府采购政策进行价格调整的，以调整后的价格计算评标基准价和投标报价。</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outlineLvl w:val="2"/>
      </w:pPr>
      <w:r/>
      <w:bookmarkStart w:id="110" w:name="_Toc7569"/>
      <w:r/>
      <w:bookmarkStart w:id="111" w:name="_Toc11944"/>
      <w:r/>
      <w:bookmarkStart w:id="112" w:name="_Toc29746"/>
      <w:r/>
      <w:bookmarkStart w:id="113" w:name="_Toc848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23.</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确定中标人</w:t>
      </w:r>
      <w:bookmarkEnd w:id="110"/>
      <w:r/>
      <w:bookmarkEnd w:id="111"/>
      <w:r/>
      <w:bookmarkEnd w:id="112"/>
      <w:r/>
      <w:bookmarkEnd w:id="113"/>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23.4 中标通知书对采购人和中标人具有同等法律效力。中标通知书发出后，采购人不得</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违法改变中标结果，中标人无正当理由不得放弃中标。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23.5 所有投标文件不论中标与否，均不退回。</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14" w:name="_Toc16612"/>
      <w:r/>
      <w:bookmarkStart w:id="115" w:name="_Toc10646"/>
      <w:r/>
      <w:bookmarkStart w:id="116" w:name="_Toc17741"/>
      <w:r/>
      <w:bookmarkStart w:id="117" w:name="_Toc1082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24.编写评标报告</w:t>
      </w:r>
      <w:bookmarkEnd w:id="114"/>
      <w:r/>
      <w:bookmarkEnd w:id="115"/>
      <w:r/>
      <w:bookmarkEnd w:id="116"/>
      <w:r/>
      <w:bookmarkEnd w:id="11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24.1评标委员会根据全体评标成员签字的原始评标记录和评标结果编写评标报告。</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18" w:name="_Toc19516"/>
      <w:r/>
      <w:bookmarkStart w:id="119" w:name="_Toc862"/>
      <w:r/>
      <w:bookmarkStart w:id="120" w:name="_Toc25109"/>
      <w:r/>
      <w:bookmarkStart w:id="121" w:name="_Toc1667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25.评标过程的保密性</w:t>
      </w:r>
      <w:bookmarkEnd w:id="118"/>
      <w:r/>
      <w:bookmarkEnd w:id="119"/>
      <w:r/>
      <w:bookmarkEnd w:id="120"/>
      <w:r/>
      <w:bookmarkEnd w:id="121"/>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25.1 采购人和采购代理机构将采取必要措施，保证评标在严格保密的情况下进行。</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25.2 任何单位和个人不得非法干预、影响评标办法的确定，以及评标过程和结果。</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22" w:name="_Toc17261"/>
      <w:r/>
      <w:bookmarkStart w:id="123" w:name="_Toc9180"/>
      <w:r/>
      <w:bookmarkStart w:id="124" w:name="_Toc32053"/>
      <w:r/>
      <w:bookmarkStart w:id="125" w:name="_Toc849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六、签订合同</w:t>
      </w:r>
      <w:bookmarkEnd w:id="122"/>
      <w:r/>
      <w:bookmarkEnd w:id="123"/>
      <w:r/>
      <w:bookmarkEnd w:id="124"/>
      <w:r/>
      <w:bookmarkEnd w:id="125"/>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26" w:name="_Toc3889"/>
      <w:r/>
      <w:bookmarkStart w:id="127" w:name="_Toc9679"/>
      <w:r/>
      <w:bookmarkStart w:id="128" w:name="_Toc18234"/>
      <w:r/>
      <w:bookmarkStart w:id="129" w:name="_Toc344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26.签订合同</w:t>
      </w:r>
      <w:bookmarkEnd w:id="126"/>
      <w:r/>
      <w:bookmarkEnd w:id="127"/>
      <w:r/>
      <w:bookmarkEnd w:id="128"/>
      <w:r/>
      <w:bookmarkEnd w:id="129"/>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26.2</w:t>
      </w:r>
      <w:r>
        <w:rPr>
          <w:rFonts w:hint="default" w:ascii="Times New Roman" w:hAnsi="Times New Roman" w:eastAsia="仿宋" w:cs="Times New Roman"/>
          <w:color w:val="000000" w:themeColor="text1"/>
          <w:sz w:val="24"/>
          <w:highlight w:val="none"/>
          <w14:textFill>
            <w14:solidFill>
              <w14:schemeClr w14:val="tx1"/>
            </w14:solidFill>
          </w14:textFill>
        </w:rPr>
        <w:t xml:space="preserve">除继续履行将损害国家利益和社会公众利益的，政府采购合同的双方当事人不得擅自变更、中止或者终止合同。</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26.3采购人不得向中标人提出任何不合理的要求作为签订合同的条件。</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26.6 采购人与中标人应当根据合同的约定依法履行合同义务。</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30" w:name="_Toc15972"/>
      <w:r/>
      <w:bookmarkStart w:id="131" w:name="_Toc20693"/>
      <w:r/>
      <w:bookmarkStart w:id="132" w:name="_Toc28385"/>
      <w:r/>
      <w:bookmarkStart w:id="133" w:name="_Toc1994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七、质疑和投诉</w:t>
      </w:r>
      <w:bookmarkEnd w:id="130"/>
      <w:r/>
      <w:bookmarkEnd w:id="131"/>
      <w:r/>
      <w:bookmarkEnd w:id="132"/>
      <w:r/>
      <w:bookmarkEnd w:id="133"/>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34" w:name="_Toc15761"/>
      <w:r/>
      <w:bookmarkStart w:id="135" w:name="_Toc31579"/>
      <w:r/>
      <w:bookmarkStart w:id="136" w:name="_Toc21796"/>
      <w:r/>
      <w:bookmarkStart w:id="137" w:name="_Toc1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27.质疑</w:t>
      </w:r>
      <w:bookmarkEnd w:id="134"/>
      <w:r/>
      <w:bookmarkEnd w:id="135"/>
      <w:r/>
      <w:bookmarkEnd w:id="136"/>
      <w:r/>
      <w:bookmarkEnd w:id="13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27.1供应商对招标活动事项有疑问的，可以向采购代理机构提出询问，采购代理机构将依法作出答复，但答复的内容不涉及商业秘密</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供应商必须在法定质疑期内一次性提出针对同一采购程序环节的质疑。</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27.4 供应商提出质疑应当提交质疑函和必要的证明材料。质疑函应当包括下列内容：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（一）供应商的姓名或者名称、地址、邮编、联系人及联系电话；</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（二）质疑项目的名称、编号；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（三）具体、明确的质疑事项和与质疑事项相关的请求（具体条款）；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（四）事实依据（具体条款）；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（五）必要的法律依据（具体条款）；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（六）提出质疑的日期。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27.7采购代理机构在收到投标人的书面质疑后将及时组织调查核实，在</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七个工作日内</w:t>
      </w:r>
      <w:r>
        <w:rPr>
          <w:rFonts w:hint="default" w:ascii="Times New Roman" w:hAnsi="Times New Roman" w:eastAsia="仿宋" w:cs="Times New Roman"/>
          <w:color w:val="000000" w:themeColor="text1"/>
          <w:sz w:val="24"/>
          <w:highlight w:val="none"/>
          <w14:textFill>
            <w14:solidFill>
              <w14:schemeClr w14:val="tx1"/>
            </w14:solidFill>
          </w14:textFill>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38" w:name="_Toc24972"/>
      <w:r/>
      <w:bookmarkStart w:id="139" w:name="_Toc20567"/>
      <w:r/>
      <w:bookmarkStart w:id="140" w:name="_Toc22899"/>
      <w:r/>
      <w:bookmarkStart w:id="141" w:name="_Toc1771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28.投诉</w:t>
      </w:r>
      <w:bookmarkEnd w:id="138"/>
      <w:r/>
      <w:bookmarkEnd w:id="139"/>
      <w:r/>
      <w:bookmarkEnd w:id="140"/>
      <w:r/>
      <w:bookmarkEnd w:id="141"/>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28.2供应商投诉应当有明确的请求和必要的证明材料。供应商投诉的事项不得超出已质疑事项的范围。</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28.4 投诉人有下列行为之一的，属于严重失信行为，由财政部门列入不良行为记录名单，禁止其一至三年内参加政府采购活动。</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（1）投诉人在全国范围12个月内三次以上投诉查无实据的；</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（2）采用捏造事实、提供虚假材料或者以非法手段取得证明材料等方式进行虚假、恶意投诉。</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证据来源的合法性存在明显疑问，投诉人无法证明其取得方式合法的，视为以非法手段取得证明材料。</w:t>
      </w:r>
      <w:r/>
    </w:p>
    <w:p>
      <w:pPr>
        <w:ind w:firstLine="420"/>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783"/>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bookmarkStart w:id="142" w:name="_Toc1041"/>
      <w:r/>
      <w:bookmarkStart w:id="143" w:name="_Toc481057145"/>
      <w:r/>
      <w:bookmarkStart w:id="144" w:name="_Toc7731"/>
      <w:r>
        <w:rPr>
          <w:rFonts w:hint="default" w:ascii="Times New Roman" w:hAnsi="Times New Roman" w:eastAsia="仿宋" w:cs="Times New Roman"/>
          <w:color w:val="000000" w:themeColor="text1"/>
          <w:highlight w:val="none"/>
          <w14:textFill>
            <w14:solidFill>
              <w14:schemeClr w14:val="tx1"/>
            </w14:solidFill>
          </w14:textFill>
        </w:rPr>
        <w:t xml:space="preserve">评标标准</w:t>
      </w:r>
      <w:bookmarkEnd w:id="142"/>
      <w:r/>
      <w:bookmarkEnd w:id="143"/>
      <w:r/>
      <w:bookmarkEnd w:id="144"/>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评标结果按评审后得分由高到低顺序排列。得分相同的，按投标报价由低到高顺序排列。得分且投标报价相同的并列。</w:t>
      </w:r>
      <w:r>
        <w:rPr>
          <w:rFonts w:hint="eastAsia" w:eastAsia="仿宋"/>
          <w:color w:val="000000" w:themeColor="text1"/>
          <w:sz w:val="24"/>
          <w:highlight w:val="none"/>
          <w14:textFill>
            <w14:solidFill>
              <w14:schemeClr w14:val="tx1"/>
            </w14:solidFill>
          </w14:textFill>
        </w:rPr>
        <w:t xml:space="preserve">投标文件满足招标文件全部实质性要求，且按照评审因素的量化指标评审得分最高的投标人为排名第一的中标候选人</w:t>
      </w:r>
      <w:r>
        <w:rPr>
          <w:rFonts w:eastAsia="仿宋"/>
          <w:color w:val="000000" w:themeColor="text1"/>
          <w:sz w:val="24"/>
          <w:highlight w:val="none"/>
          <w14:textFill>
            <w14:solidFill>
              <w14:schemeClr w14:val="tx1"/>
            </w14:solidFill>
          </w14:textFill>
        </w:rPr>
        <w:t xml:space="preserve">。</w:t>
      </w:r>
      <w:r/>
    </w:p>
    <w:tbl>
      <w:tblPr>
        <w:tblStyle w:val="793"/>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评分</w:t>
            </w:r>
            <w:r/>
          </w:p>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分值</w:t>
            </w:r>
            <w:r/>
          </w:p>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价格</w:t>
            </w:r>
            <w:r/>
          </w:p>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2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采用低价优先法计算，即满足招标文件要求且优惠率报价最高的报价为评标基准价，其价格分为满分。</w:t>
            </w:r>
            <w:r/>
          </w:p>
          <w:p>
            <w:pPr>
              <w:spacing w:line="32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本项目评标基准价为：1-最高优惠率</w:t>
            </w:r>
            <w:r/>
          </w:p>
          <w:p>
            <w:pPr>
              <w:spacing w:line="32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本项目其他投标人的投标报价为：1-其优惠率报价</w:t>
            </w:r>
            <w:r/>
          </w:p>
          <w:p>
            <w:pPr>
              <w:spacing w:line="32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其他投标人的价格分统一按照下列公式计算：</w:t>
            </w:r>
            <w:r/>
          </w:p>
          <w:p>
            <w:pPr>
              <w:spacing w:line="32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投标报价得分=（评标基准价/投标报价）×10（小数点保留两位，四舍五入）</w:t>
            </w:r>
            <w:r/>
          </w:p>
          <w:p>
            <w:pPr>
              <w:spacing w:line="320" w:lineRule="exact"/>
              <w:rPr>
                <w:rFonts w:hint="eastAsia" w:ascii="Times New Roman" w:hAnsi="Times New Roman" w:eastAsia="仿宋" w:cs="Times New Roman"/>
                <w:color w:val="000000" w:themeColor="text1"/>
                <w:szCs w:val="21"/>
                <w:highlight w:val="none"/>
                <w:lang w:eastAsia="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优惠率是指以南京市发展和改革委员会官网公示的定价月最后一次“农贸市场主副食品价格行情表”中的平均价为基础，如官网最后一次未公布的则依顺序前推；如南京市发展和改革委员会官网未有的；以采购人调研附近大型农贸市场（能仁里农贸市场）价格为基础进行下浮的比例，且下浮比例不低于8%。如投标人A、B、C的投标优惠率报价分别为10%、15%、20%，投标人C所报的（1-20%）为评标基准价，投标人C的投标报价得分为10分，投标人B的投标报价得分为9.41分；投标人A的投标报价得分为8.89分</w:t>
            </w:r>
            <w:r>
              <w:rPr>
                <w:rFonts w:hint="eastAsia" w:eastAsia="仿宋" w:cs="Times New Roman"/>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技术方案</w:t>
            </w:r>
            <w:r/>
          </w:p>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（63分）</w:t>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2.1配送服务方案：包括但不限于供货时间、物流交接等环节、日常配送的人员、保障，节假日货源准备等。</w:t>
            </w:r>
            <w:r/>
          </w:p>
          <w:p>
            <w:pPr>
              <w:numPr>
                <w:ilvl w:val="0"/>
                <w:numId w:val="3"/>
              </w:num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方案全面、配送体系科学完整，配送措施针对性强，可执行性强、人员安排充足且分配科学合理的得12分；</w:t>
            </w:r>
            <w:r/>
          </w:p>
          <w:p>
            <w:pPr>
              <w:numPr>
                <w:ilvl w:val="0"/>
                <w:numId w:val="3"/>
              </w:num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配送体系较可行，配送措施较有针对性，人员安排较合理的9分；</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（3）配送方案考虑不够全面，但依旧具备可行性的得6分；</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（4）配送方案不全面，可执行性差的得3分；</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12</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主观分</w:t>
            </w:r>
            <w:r/>
          </w:p>
        </w:tc>
      </w:tr>
      <w:tr>
        <w:trP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2.2</w:t>
            </w:r>
            <w:r>
              <w:rPr>
                <w:rFonts w:hint="default" w:ascii="Times New Roman" w:hAnsi="Times New Roman" w:eastAsia="仿宋" w:cs="Times New Roman"/>
                <w:color w:val="000000" w:themeColor="text1"/>
                <w:szCs w:val="21"/>
                <w:highlight w:val="none"/>
                <w:lang w:bidi="ar"/>
                <w14:textFill>
                  <w14:solidFill>
                    <w14:schemeClr w14:val="tx1"/>
                  </w14:solidFill>
                </w14:textFill>
              </w:rPr>
              <w:t xml:space="preserve">管理制度、目标及考核办法</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：（包括但不限于食材配送服务的管理制度、管理目标及员工考核办法等）</w:t>
            </w:r>
            <w:r/>
          </w:p>
          <w:p>
            <w:pPr>
              <w:numPr>
                <w:ilvl w:val="0"/>
                <w:numId w:val="4"/>
              </w:num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安全管理、卫生管理、车辆及其他设备管理制度完善，方案切实可行、人员考核有完善的标准、措施、奖罚淘汰机制完善的得12分；</w:t>
            </w:r>
            <w:r/>
          </w:p>
          <w:p>
            <w:pPr>
              <w:pStyle w:val="803"/>
              <w:numPr>
                <w:ilvl w:val="0"/>
                <w:numId w:val="4"/>
              </w:numPr>
              <w:jc w:val="left"/>
              <w:rPr>
                <w:rFonts w:hint="default" w:ascii="Times New Roman" w:hAnsi="Times New Roman" w:eastAsia="仿宋"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仿宋" w:cs="Times New Roman"/>
                <w:b w:val="0"/>
                <w:bCs w:val="0"/>
                <w:color w:val="000000" w:themeColor="text1"/>
                <w:sz w:val="21"/>
                <w:szCs w:val="21"/>
                <w:highlight w:val="none"/>
                <w14:textFill>
                  <w14:solidFill>
                    <w14:schemeClr w14:val="tx1"/>
                  </w14:solidFill>
                </w14:textFill>
              </w:rPr>
              <w:t xml:space="preserve">安全管理、卫生管理、车辆及其他设备管理制度基本完善，方案基本可行、人员考核有基本的标准、措施、奖罚淘汰机制完善的得9分</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（3）安全管理、卫生管理、设备管理制度基本完善，方案基本可行，但各类人员考核标准、措施、奖罚淘汰机制不完善的得6分；</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（4）方案不全面，可执行性差，不够满足采购需求的得3分；</w:t>
            </w:r>
            <w:r/>
          </w:p>
          <w:p>
            <w:pPr>
              <w:numPr>
                <w:ilvl w:val="0"/>
                <w:numId w:val="0"/>
              </w:num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2.3售后服务方案：</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（1）售后服务方案完整，服务承诺细致，服务响应速度快，解决问题时间快，能够及时与采购人综合协调的得12分；</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（2）售后服务方案较完整，服务承诺较细致，服务响应较快，解决问题时间较快的得9分；</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（3）售后服务方案有效性不强，服务承诺内容粗略，服务响应速度缓慢，解决问题时间缓慢的得6分；</w:t>
            </w:r>
            <w:r/>
          </w:p>
          <w:p>
            <w:pPr>
              <w:pStyle w:val="843"/>
              <w:ind w:firstLine="0"/>
              <w:spacing w:line="240" w:lineRule="auto"/>
              <w:rPr>
                <w:rFonts w:hint="default" w:ascii="Times New Roman" w:hAnsi="Times New Roman" w:eastAsia="仿宋" w:cs="Times New Roman"/>
                <w:color w:val="000000" w:themeColor="text1"/>
                <w:sz w:val="21"/>
                <w:szCs w:val="21"/>
                <w:highlight w:val="none"/>
                <w14:textFill>
                  <w14:solidFill>
                    <w14:schemeClr w14:val="tx1"/>
                  </w14:solidFill>
                </w14:textFill>
              </w:rPr>
            </w:pPr>
            <w:r>
              <w:rPr>
                <w:rFonts w:hint="default" w:ascii="Times New Roman" w:hAnsi="Times New Roman" w:eastAsia="仿宋" w:cs="Times New Roman"/>
                <w:color w:val="000000" w:themeColor="text1"/>
                <w:sz w:val="21"/>
                <w:szCs w:val="21"/>
                <w:highlight w:val="none"/>
                <w:lang w:val="en-US" w:eastAsia="zh-CN" w:bidi="ar-SA"/>
                <w14:textFill>
                  <w14:solidFill>
                    <w14:schemeClr w14:val="tx1"/>
                  </w14:solidFill>
                </w14:textFill>
              </w:rPr>
              <w:t xml:space="preserve">（4）未提供方案的不得分。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2.4质量管控方案：（包括但不限于质量管理制度及质量保证措施，食品安全制度等）</w:t>
            </w:r>
            <w:r/>
          </w:p>
          <w:p>
            <w:pPr>
              <w:numPr>
                <w:ilvl w:val="0"/>
                <w:numId w:val="5"/>
              </w:num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方案全面、质量管理制度及质量保证措施合理，承诺提供所供商品溯源服务（含进货、检验证明材料）且食品安全保障措施健全完善，方案针对性强的得14分； </w:t>
            </w:r>
            <w:r/>
          </w:p>
          <w:p>
            <w:pPr>
              <w:numPr>
                <w:ilvl w:val="0"/>
                <w:numId w:val="5"/>
              </w:num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质量管理制度及质量保证措施较合理，承诺提供所供商品溯源服务（含进货、检验证明材料）且食品安全保障措施较为健全，方案针对性较强的得11分； </w:t>
            </w:r>
            <w:r/>
          </w:p>
          <w:p>
            <w:pPr>
              <w:numPr>
                <w:ilvl w:val="0"/>
                <w:numId w:val="5"/>
              </w:num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质量管理制度及质量保证措施基本合理，基本满足采购需求的得8分； </w:t>
            </w:r>
            <w:r/>
          </w:p>
          <w:p>
            <w:pPr>
              <w:numPr>
                <w:ilvl w:val="0"/>
                <w:numId w:val="5"/>
              </w:num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方案不全面，可执行性差，不够满足采购需求的得5分；</w:t>
            </w:r>
            <w:r/>
          </w:p>
          <w:p>
            <w:pPr>
              <w:numPr>
                <w:ilvl w:val="0"/>
                <w:numId w:val="5"/>
              </w:num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14</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2.5</w:t>
            </w:r>
            <w:r>
              <w:rPr>
                <w:rFonts w:hint="default" w:ascii="Times New Roman" w:hAnsi="Times New Roman" w:eastAsia="仿宋" w:cs="Times New Roman"/>
                <w:color w:val="000000" w:themeColor="text1"/>
                <w:szCs w:val="21"/>
                <w:highlight w:val="none"/>
                <w:lang w:bidi="ar"/>
                <w14:textFill>
                  <w14:solidFill>
                    <w14:schemeClr w14:val="tx1"/>
                  </w14:solidFill>
                </w14:textFill>
              </w:rPr>
              <w:t xml:space="preserve">应急预案：</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供应商具有能力应对突发事件，包括但不限于采购环节、物流运输环节，食材进场送货环节、恶劣天气等突发事件应急预案等。</w:t>
            </w:r>
            <w:r/>
          </w:p>
          <w:p>
            <w:pPr>
              <w:numPr>
                <w:ilvl w:val="0"/>
                <w:numId w:val="6"/>
              </w:num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突发事件应急预案非常全面、针对性强，可执行性强的得13分；</w:t>
            </w:r>
            <w:r/>
          </w:p>
          <w:p>
            <w:pPr>
              <w:pStyle w:val="803"/>
              <w:jc w:val="left"/>
              <w:rPr>
                <w:rFonts w:hint="eastAsia" w:ascii="Times New Roman" w:hAnsi="Times New Roman" w:eastAsia="仿宋" w:cs="Times New Roman"/>
                <w:b w:val="0"/>
                <w:bCs w:val="0"/>
                <w:color w:val="000000" w:themeColor="text1"/>
                <w:sz w:val="21"/>
                <w:szCs w:val="21"/>
                <w:highlight w:val="none"/>
                <w:lang w:eastAsia="zh-CN"/>
                <w14:textFill>
                  <w14:solidFill>
                    <w14:schemeClr w14:val="tx1"/>
                  </w14:solidFill>
                </w14:textFill>
              </w:rPr>
            </w:pPr>
            <w:r>
              <w:rPr>
                <w:rFonts w:hint="default" w:ascii="Times New Roman" w:hAnsi="Times New Roman" w:eastAsia="仿宋" w:cs="Times New Roman"/>
                <w:b w:val="0"/>
                <w:bCs w:val="0"/>
                <w:color w:val="000000" w:themeColor="text1"/>
                <w:sz w:val="21"/>
                <w:szCs w:val="21"/>
                <w:highlight w:val="none"/>
                <w14:textFill>
                  <w14:solidFill>
                    <w14:schemeClr w14:val="tx1"/>
                  </w14:solidFill>
                </w14:textFill>
              </w:rPr>
              <w:t xml:space="preserve">（2）突发事件应急预案较全面、细致、针对性较强的得10分</w:t>
            </w:r>
            <w:r>
              <w:rPr>
                <w:rFonts w:hint="eastAsia" w:eastAsia="仿宋" w:cs="Times New Roman"/>
                <w:b w:val="0"/>
                <w:bCs w:val="0"/>
                <w:color w:val="000000" w:themeColor="text1"/>
                <w:sz w:val="21"/>
                <w:szCs w:val="21"/>
                <w:highlight w:val="none"/>
                <w:lang w:eastAsia="zh-CN"/>
                <w14:textFill>
                  <w14:solidFill>
                    <w14:schemeClr w14:val="tx1"/>
                  </w14:solidFill>
                </w14:textFill>
              </w:rPr>
              <w:t xml:space="preserve">；</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（3）方案考虑相对不够全面，但依旧具备可行性的得7分；</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（4）方案不全面，可执行性差的得4分；</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90"/>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业绩</w:t>
            </w:r>
            <w:r/>
          </w:p>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843"/>
              <w:ind w:firstLine="0"/>
              <w:spacing w:line="240" w:lineRule="auto"/>
              <w:rPr>
                <w:rFonts w:hint="default" w:ascii="Times New Roman" w:hAnsi="Times New Roman" w:eastAsia="仿宋" w:cs="Times New Roman"/>
                <w:color w:val="000000" w:themeColor="text1"/>
                <w:sz w:val="21"/>
                <w:szCs w:val="21"/>
                <w:highlight w:val="none"/>
                <w14:textFill>
                  <w14:solidFill>
                    <w14:schemeClr w14:val="tx1"/>
                  </w14:solidFill>
                </w14:textFill>
              </w:rPr>
            </w:pPr>
            <w:r>
              <w:rPr>
                <w:rFonts w:hint="default" w:ascii="Times New Roman" w:hAnsi="Times New Roman" w:eastAsia="仿宋" w:cs="Times New Roman"/>
                <w:color w:val="000000" w:themeColor="text1"/>
                <w:sz w:val="21"/>
                <w:szCs w:val="21"/>
                <w:highlight w:val="none"/>
                <w14:textFill>
                  <w14:solidFill>
                    <w14:schemeClr w14:val="tx1"/>
                  </w14:solidFill>
                </w14:textFill>
              </w:rPr>
              <w:t xml:space="preserve">投标人自2023年1月1日以来承担过食材供货类似（至少包含水产类）业绩，每提供一个得3分，满分9分。</w:t>
            </w:r>
            <w:r/>
          </w:p>
          <w:p>
            <w:pPr>
              <w:pStyle w:val="843"/>
              <w:ind w:firstLine="0"/>
              <w:spacing w:line="240" w:lineRule="auto"/>
              <w:rPr>
                <w:rFonts w:hint="default" w:ascii="Times New Roman" w:hAnsi="Times New Roman" w:eastAsia="仿宋" w:cs="Times New Roman"/>
                <w:color w:val="000000" w:themeColor="text1"/>
                <w:sz w:val="21"/>
                <w:szCs w:val="21"/>
                <w:highlight w:val="none"/>
                <w:lang w:val="zh-CN"/>
                <w14:textFill>
                  <w14:solidFill>
                    <w14:schemeClr w14:val="tx1"/>
                  </w14:solidFill>
                </w14:textFill>
              </w:rPr>
            </w:pPr>
            <w:r>
              <w:rPr>
                <w:rFonts w:hint="default" w:ascii="Times New Roman" w:hAnsi="Times New Roman" w:eastAsia="仿宋" w:cs="Times New Roman"/>
                <w:color w:val="000000" w:themeColor="text1"/>
                <w:sz w:val="21"/>
                <w:szCs w:val="21"/>
                <w:highlight w:val="none"/>
                <w14:textFill>
                  <w14:solidFill>
                    <w14:schemeClr w14:val="tx1"/>
                  </w14:solidFill>
                </w14:textFill>
              </w:rPr>
              <w:t xml:space="preserve">（注：提供合同扫描件加盖电子公章，提供的证明材料须能反映相关信息，合同双方公章、关键信息必须清晰可见否则视为未提供。）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客观分</w:t>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4</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配送保障（8分）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841"/>
              <w:ind w:firstLine="0"/>
              <w:rPr>
                <w:rFonts w:hint="default" w:ascii="Times New Roman" w:hAnsi="Times New Roman" w:eastAsia="仿宋" w:cs="Times New Roman"/>
                <w:color w:val="000000" w:themeColor="text1"/>
                <w:szCs w:val="21"/>
                <w:highlight w:val="none"/>
                <w:lang w:val="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具有</w:t>
            </w:r>
            <w:r>
              <w:rPr>
                <w:rFonts w:hint="default" w:ascii="Times New Roman" w:hAnsi="Times New Roman" w:eastAsia="仿宋" w:cs="Times New Roman"/>
                <w:color w:val="000000" w:themeColor="text1"/>
                <w:szCs w:val="21"/>
                <w:highlight w:val="none"/>
                <w14:textFill>
                  <w14:solidFill>
                    <w14:schemeClr w14:val="tx1"/>
                  </w14:solidFill>
                </w14:textFill>
              </w:rPr>
              <w:t xml:space="preserve">食品运输冷链</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车辆</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的</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每投入一辆</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得</w:t>
            </w:r>
            <w:r>
              <w:rPr>
                <w:rFonts w:hint="default" w:ascii="Times New Roman" w:hAnsi="Times New Roman" w:eastAsia="仿宋" w:cs="Times New Roman"/>
                <w:color w:val="000000" w:themeColor="text1"/>
                <w:szCs w:val="21"/>
                <w:highlight w:val="none"/>
                <w14:textFill>
                  <w14:solidFill>
                    <w14:schemeClr w14:val="tx1"/>
                  </w14:solidFill>
                </w14:textFill>
              </w:rPr>
              <w:t xml:space="preserve">4</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分，满分</w:t>
            </w:r>
            <w:r>
              <w:rPr>
                <w:rFonts w:hint="default" w:ascii="Times New Roman" w:hAnsi="Times New Roman" w:eastAsia="仿宋" w:cs="Times New Roman"/>
                <w:color w:val="000000" w:themeColor="text1"/>
                <w:szCs w:val="21"/>
                <w:highlight w:val="none"/>
                <w14:textFill>
                  <w14:solidFill>
                    <w14:schemeClr w14:val="tx1"/>
                  </w14:solidFill>
                </w14:textFill>
              </w:rPr>
              <w:t xml:space="preserve">8</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分。</w:t>
            </w:r>
            <w:r/>
          </w:p>
          <w:p>
            <w:pPr>
              <w:pStyle w:val="841"/>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注：</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自有车辆提供①</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有效期内的</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行驶证</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扫描件；</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②未遮挡号牌的冷链车辆照片及可以体现出冷链车辆明显特征</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的</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冷链车厢内部照片。租赁车辆提供①车辆</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租赁</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合同</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扫描件；</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②</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有效期内的</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行驶证</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扫描件；</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③未遮挡号牌的冷链车辆照片及可以体现出冷链车辆明显特征</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的</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冷链车厢内部照片。</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（提供相关证明材料扫描件加盖电子公章，不提供或提供不全不得分）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8</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人员保障（5分）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投标人承诺拟为本项目配备从事采购、出入库、配送等相关工作岗位人员且均具有有效期内健康证明，中标后将所有参与人员的健康证明原件扫描件交采购人核验并进行存档的得5分。</w:t>
            </w:r>
            <w:r/>
          </w:p>
          <w:p>
            <w:pPr>
              <w:pStyle w:val="841"/>
              <w:ind w:firstLine="0"/>
              <w:rPr>
                <w:rFonts w:hint="default" w:ascii="Times New Roman" w:hAnsi="Times New Roman" w:eastAsia="仿宋" w:cs="Times New Roman"/>
                <w:color w:val="000000" w:themeColor="text1"/>
                <w:szCs w:val="21"/>
                <w:highlight w:val="none"/>
                <w:lang w:val="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注：提供承诺书加盖电子公章，承诺书格式自拟。</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6</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食品安全保障</w:t>
            </w:r>
            <w:r/>
          </w:p>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841"/>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投标人承诺如中标，中标后购买保险额如下的食品安全责任险：</w:t>
            </w:r>
            <w:r/>
          </w:p>
          <w:p>
            <w:pPr>
              <w:pStyle w:val="841"/>
              <w:numPr>
                <w:ilvl w:val="0"/>
                <w:numId w:val="7"/>
              </w:numPr>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保险额度≥500万元的得5分；</w:t>
            </w:r>
            <w:r/>
          </w:p>
          <w:p>
            <w:pPr>
              <w:pStyle w:val="841"/>
              <w:numPr>
                <w:ilvl w:val="0"/>
                <w:numId w:val="7"/>
              </w:numPr>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保险额</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度</w:t>
            </w:r>
            <w:r>
              <w:rPr>
                <w:rFonts w:hint="default" w:ascii="Times New Roman" w:hAnsi="Times New Roman" w:eastAsia="仿宋" w:cs="Times New Roman"/>
                <w:color w:val="000000" w:themeColor="text1"/>
                <w:szCs w:val="21"/>
                <w:highlight w:val="none"/>
                <w14:textFill>
                  <w14:solidFill>
                    <w14:schemeClr w14:val="tx1"/>
                  </w14:solidFill>
                </w14:textFill>
              </w:rPr>
              <w:t xml:space="preserve">≥300万且＜500万的得3分；</w:t>
            </w:r>
            <w:r/>
          </w:p>
          <w:p>
            <w:pPr>
              <w:numPr>
                <w:ilvl w:val="0"/>
                <w:numId w:val="7"/>
              </w:num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保险额度≥200万且＜300万的得1分；</w:t>
            </w:r>
            <w:r/>
          </w:p>
          <w:p>
            <w:pPr>
              <w:pStyle w:val="841"/>
              <w:numPr>
                <w:ilvl w:val="0"/>
                <w:numId w:val="7"/>
              </w:numPr>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保险额度200万元以下不得分。</w:t>
            </w:r>
            <w:r/>
          </w:p>
          <w:p>
            <w:pPr>
              <w:pStyle w:val="841"/>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注：投标人提供承诺书加盖电子公章，</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保险额度以承诺为准，</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不提供不得分，承诺书格式自拟，本项最多得5分。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bl>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说明：</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1.所有认证、证明和业绩均以有效清晰的证明文件的扫描件为依据。</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2.小微企业</w:t>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对于专门面向中小企业或小型、微型企业的项目，只面向中小企业或小型、微型企业采</w:t>
      </w:r>
      <w:r>
        <w:rPr>
          <w:rFonts w:hint="default" w:ascii="Times New Roman" w:hAnsi="Times New Roman" w:eastAsia="仿宋" w:cs="Times New Roman"/>
          <w:color w:val="000000" w:themeColor="text1"/>
          <w:spacing w:val="-3"/>
          <w:sz w:val="24"/>
          <w:highlight w:val="none"/>
          <w14:textFill>
            <w14:solidFill>
              <w14:schemeClr w14:val="tx1"/>
            </w14:solidFill>
          </w14:textFill>
        </w:rPr>
        <w:t xml:space="preserve">购。对于非专门面向中小企业的项目，对小型和微型企业的价格给予10%的扣除，用扣除后的价</w:t>
      </w:r>
      <w:r>
        <w:rPr>
          <w:rFonts w:hint="default" w:ascii="Times New Roman" w:hAnsi="Times New Roman" w:eastAsia="仿宋" w:cs="Times New Roman"/>
          <w:color w:val="000000" w:themeColor="text1"/>
          <w:sz w:val="24"/>
          <w:highlight w:val="none"/>
          <w14:textFill>
            <w14:solidFill>
              <w14:schemeClr w14:val="tx1"/>
            </w14:solidFill>
          </w14:textFill>
        </w:rPr>
        <w:t xml:space="preserve">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3.监狱和戒毒企业</w:t>
      </w:r>
      <w:r/>
    </w:p>
    <w:p>
      <w:pPr>
        <w:pStyle w:val="80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3.1本项目对监狱和戒毒企业，给予10%的价格扣除，用扣除后的价格参与评审。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3.2监狱企业需提供由省级以上监狱管理局、戒毒管理局（含新疆生产建设兵团）出具的属于监狱企业的证明文件。</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3.3监狱企业标准请参照《关于政府采购支持监狱企业发展有关问题的通知》（财库〔2014〕68号）。</w:t>
      </w:r>
      <w:r/>
    </w:p>
    <w:p>
      <w:pPr>
        <w:numPr>
          <w:ilvl w:val="0"/>
          <w:numId w:val="8"/>
        </w:num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残疾人福利性单位</w:t>
      </w:r>
      <w:r/>
    </w:p>
    <w:p>
      <w:pPr>
        <w:pStyle w:val="80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4.2残疾人福利性单位需提供《残疾人福利性单位声明函》。</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4.3 残疾人福利性单位标准请参照《关于促进残疾人就业政府采购政策的通知》（财库〔2017〕141号）。</w:t>
      </w:r>
      <w:r/>
    </w:p>
    <w:p>
      <w:pPr>
        <w:pStyle w:val="803"/>
        <w:jc w:val="both"/>
        <w:spacing w:line="360" w:lineRule="auto"/>
        <w:rPr>
          <w:rFonts w:hint="default" w:ascii="Times New Roman" w:hAnsi="Times New Roman" w:eastAsia="仿宋" w:cs="Times New Roman"/>
          <w:b w:val="0"/>
          <w:color w:val="000000" w:themeColor="text1"/>
          <w:sz w:val="24"/>
          <w:highlight w:val="none"/>
          <w14:textFill>
            <w14:solidFill>
              <w14:schemeClr w14:val="tx1"/>
            </w14:solidFill>
          </w14:textFill>
        </w:rPr>
      </w:pPr>
      <w:r>
        <w:rPr>
          <w:rFonts w:hint="default" w:ascii="Times New Roman" w:hAnsi="Times New Roman" w:eastAsia="仿宋" w:cs="Times New Roman"/>
          <w:b w:val="0"/>
          <w:color w:val="000000" w:themeColor="text1"/>
          <w:sz w:val="24"/>
          <w:highlight w:val="none"/>
          <w14:textFill>
            <w14:solidFill>
              <w14:schemeClr w14:val="tx1"/>
            </w14:solidFill>
          </w14:textFill>
        </w:rPr>
        <w:t xml:space="preserve">5.监狱企业、残疾人福利性单位属于小型、微型企业的，不重复享受政策。</w:t>
      </w:r>
      <w:r/>
    </w:p>
    <w:p>
      <w:pPr>
        <w:pStyle w:val="803"/>
        <w:jc w:val="both"/>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6.对国家认定的节能产品和环保产品分别给予投标价的</w:t>
      </w:r>
      <w:r>
        <w:rPr>
          <w:rFonts w:hint="default" w:ascii="Times New Roman" w:hAnsi="Times New Roman" w:eastAsia="仿宋" w:cs="Times New Roman"/>
          <w:b w:val="0"/>
          <w:bCs w:val="0"/>
          <w:color w:val="000000" w:themeColor="text1"/>
          <w:spacing w:val="55"/>
          <w:sz w:val="24"/>
          <w:highlight w:val="none"/>
          <w14:textFill>
            <w14:solidFill>
              <w14:schemeClr w14:val="tx1"/>
            </w14:solidFill>
          </w14:textFill>
        </w:rPr>
        <w:t xml:space="preserve">5</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%的价格扣除，用扣除后的价格参</w:t>
      </w:r>
      <w:r>
        <w:rPr>
          <w:rFonts w:hint="default" w:ascii="Times New Roman" w:hAnsi="Times New Roman" w:eastAsia="仿宋" w:cs="Times New Roman"/>
          <w:b w:val="0"/>
          <w:bCs w:val="0"/>
          <w:color w:val="000000" w:themeColor="text1"/>
          <w:spacing w:val="-5"/>
          <w:sz w:val="24"/>
          <w:highlight w:val="none"/>
          <w14:textFill>
            <w14:solidFill>
              <w14:schemeClr w14:val="tx1"/>
            </w14:solidFill>
          </w14:textFill>
        </w:rPr>
        <w:t xml:space="preserve">与评审（节能、环保产品必须纳入“中国政府采购网 </w:t>
      </w: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"http://www.ccgp.gov.cn/" \h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t xml:space="preserve">http://www.ccgp.gov.cn/</w:t>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fldChar w:fldCharType="end"/>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t xml:space="preserve">”等官方网站“节能、环</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保产品查询系统”，且以提供的证书扫描件为准）。</w:t>
      </w:r>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r/>
    </w:p>
    <w:p>
      <w:pPr>
        <w:pStyle w:val="783"/>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bookmarkStart w:id="145" w:name="_Toc31739"/>
      <w:r/>
      <w:bookmarkStart w:id="146" w:name="_Toc30056"/>
      <w:r/>
      <w:bookmarkStart w:id="147" w:name="_Toc830"/>
      <w:r/>
      <w:bookmarkStart w:id="148" w:name="_Hlk96071152"/>
      <w:r/>
      <w:bookmarkStart w:id="149" w:name="_Toc481057147"/>
      <w:r>
        <w:rPr>
          <w:rFonts w:hint="default" w:ascii="Times New Roman" w:hAnsi="Times New Roman" w:eastAsia="仿宋" w:cs="Times New Roman"/>
          <w:color w:val="000000" w:themeColor="text1"/>
          <w:szCs w:val="32"/>
          <w:highlight w:val="none"/>
          <w14:textFill>
            <w14:solidFill>
              <w14:schemeClr w14:val="tx1"/>
            </w14:solidFill>
          </w14:textFill>
        </w:rPr>
        <w:t xml:space="preserve">采购需求</w:t>
      </w:r>
      <w:bookmarkEnd w:id="145"/>
      <w:r/>
      <w:bookmarkEnd w:id="146"/>
      <w:r/>
      <w:bookmarkEnd w:id="147"/>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bookmarkStart w:id="150" w:name="_Toc24130"/>
      <w:r>
        <w:rPr>
          <w:rFonts w:hint="default" w:ascii="Times New Roman" w:hAnsi="Times New Roman" w:eastAsia="仿宋" w:cs="Times New Roman"/>
          <w:b/>
          <w:color w:val="000000" w:themeColor="text1"/>
          <w:sz w:val="24"/>
          <w:highlight w:val="none"/>
          <w14:textFill>
            <w14:solidFill>
              <w14:schemeClr w14:val="tx1"/>
            </w14:solidFill>
          </w14:textFill>
        </w:rPr>
        <w:t xml:space="preserve">一、项目概述</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为进一步规范食堂食品采购工作，确保食品安全，依据《中华人民共和国政府采购法》等有关法律法规的规定，本着公开、公平、公正的原则对食堂所需食品原料定点供应商进行采购，采购项目内容及要求如下：</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w:t>
      </w:r>
      <w:r>
        <w:rPr>
          <w:rFonts w:hint="eastAsia"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水产类（冷冻水产、鲜活水产），采购预算价： 180万元/年。</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w:t>
      </w:r>
      <w:r>
        <w:rPr>
          <w:rFonts w:hint="eastAsia"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供应商应保证所提供的产品必须是合格安全的新鲜产品，因产品质量问题发生的食物中毒等事故，由供应商承担经济赔偿责任及其他法律责任。</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w:t>
      </w:r>
      <w:r>
        <w:rPr>
          <w:rFonts w:hint="eastAsia"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采购</w:t>
      </w:r>
      <w:r>
        <w:rPr>
          <w:rFonts w:hint="eastAsia" w:eastAsia="仿宋" w:cs="Times New Roman"/>
          <w:color w:val="000000" w:themeColor="text1"/>
          <w:sz w:val="24"/>
          <w:highlight w:val="none"/>
          <w:lang w:val="en-US" w:eastAsia="zh-CN"/>
          <w14:textFill>
            <w14:solidFill>
              <w14:schemeClr w14:val="tx1"/>
            </w14:solidFill>
          </w14:textFill>
        </w:rPr>
        <w:t xml:space="preserve">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于每日下午四点前将第二日所需菜品提供给供应商。</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w:t>
      </w:r>
      <w:r>
        <w:rPr>
          <w:rFonts w:hint="eastAsia"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以上各项目要求能做到每日早上7:30前配送。</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5.</w:t>
      </w:r>
      <w:r>
        <w:rPr>
          <w:rFonts w:hint="default" w:ascii="Times New Roman" w:hAnsi="Times New Roman" w:eastAsia="仿宋" w:cs="Times New Roman"/>
          <w:color w:val="000000" w:themeColor="text1"/>
          <w:sz w:val="24"/>
          <w:highlight w:val="none"/>
          <w14:textFill>
            <w14:solidFill>
              <w14:schemeClr w14:val="tx1"/>
            </w14:solidFill>
          </w14:textFill>
        </w:rPr>
        <w:t xml:space="preserve">配送及服务地点：雨花南路2号及竹影路5号</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6.</w:t>
      </w:r>
      <w:r>
        <w:rPr>
          <w:rFonts w:hint="default" w:ascii="Times New Roman" w:hAnsi="Times New Roman" w:eastAsia="仿宋" w:cs="Times New Roman"/>
          <w:color w:val="000000" w:themeColor="text1"/>
          <w:sz w:val="24"/>
          <w:highlight w:val="none"/>
          <w14:textFill>
            <w14:solidFill>
              <w14:schemeClr w14:val="tx1"/>
            </w14:solidFill>
          </w14:textFill>
        </w:rPr>
        <w:t xml:space="preserve">遇特殊情况，采购</w:t>
      </w:r>
      <w:r>
        <w:rPr>
          <w:rFonts w:hint="eastAsia" w:eastAsia="仿宋" w:cs="Times New Roman"/>
          <w:color w:val="000000" w:themeColor="text1"/>
          <w:sz w:val="24"/>
          <w:highlight w:val="none"/>
          <w:lang w:val="en-US" w:eastAsia="zh-CN"/>
          <w14:textFill>
            <w14:solidFill>
              <w14:schemeClr w14:val="tx1"/>
            </w14:solidFill>
          </w14:textFill>
        </w:rPr>
        <w:t xml:space="preserve">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提前一天告知供应商，供应商应在采购</w:t>
      </w:r>
      <w:r>
        <w:rPr>
          <w:rFonts w:hint="eastAsia" w:eastAsia="仿宋" w:cs="Times New Roman"/>
          <w:color w:val="000000" w:themeColor="text1"/>
          <w:sz w:val="24"/>
          <w:highlight w:val="none"/>
          <w:lang w:val="en-US" w:eastAsia="zh-CN"/>
          <w14:textFill>
            <w14:solidFill>
              <w14:schemeClr w14:val="tx1"/>
            </w14:solidFill>
          </w14:textFill>
        </w:rPr>
        <w:t xml:space="preserve">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规定时间内送达。</w:t>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二、合同履行期限：</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项目服务期限为自合同签订之日起三年。服务期限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三、食材质量要求：</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14:textFill>
            <w14:solidFill>
              <w14:schemeClr w14:val="tx1"/>
            </w14:solidFill>
          </w14:textFill>
        </w:rPr>
        <w:t xml:space="preserve">中标供应商须保证所供原材料均为符合国家卫生、质量检验标准的正规产品。食材质量标准如下：</w:t>
      </w:r>
      <w:r/>
    </w:p>
    <w:tbl>
      <w:tblPr>
        <w:tblStyle w:val="793"/>
        <w:tblpPr w:horzAnchor="page" w:tblpX="1885" w:vertAnchor="text" w:tblpY="33" w:leftFromText="180" w:topFromText="0" w:rightFromText="180" w:bottomFromText="0"/>
        <w:tblW w:w="83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3118"/>
        <w:gridCol w:w="4137"/>
      </w:tblGrid>
      <w:tr>
        <w:trPr>
          <w:trHeight w:val="567"/>
        </w:trPr>
        <w:tc>
          <w:tcPr>
            <w:tcBorders>
              <w:top w:val="single" w:color="auto" w:sz="4" w:space="0"/>
            </w:tcBorders>
            <w:tcW w:w="1076" w:type="dxa"/>
            <w:vAlign w:val="center"/>
            <w:textDirection w:val="lrTb"/>
            <w:noWrap w:val="false"/>
          </w:tcPr>
          <w:p>
            <w:pPr>
              <w:jc w:val="center"/>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品类名称</w:t>
            </w:r>
            <w:r/>
          </w:p>
        </w:tc>
        <w:tc>
          <w:tcPr>
            <w:tcBorders>
              <w:top w:val="single" w:color="auto" w:sz="4" w:space="0"/>
            </w:tcBorders>
            <w:tcW w:w="3118" w:type="dxa"/>
            <w:vAlign w:val="center"/>
            <w:textDirection w:val="lrTb"/>
            <w:noWrap w:val="false"/>
          </w:tcPr>
          <w:p>
            <w:pPr>
              <w:jc w:val="center"/>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产品标准或技术参数</w:t>
            </w:r>
            <w:r/>
          </w:p>
        </w:tc>
        <w:tc>
          <w:tcPr>
            <w:tcBorders>
              <w:top w:val="single" w:color="auto" w:sz="4" w:space="0"/>
            </w:tcBorders>
            <w:tcW w:w="4137" w:type="dxa"/>
            <w:vAlign w:val="center"/>
            <w:textDirection w:val="lrTb"/>
            <w:noWrap w:val="false"/>
          </w:tcPr>
          <w:p>
            <w:pPr>
              <w:jc w:val="center"/>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通行使用标准</w:t>
            </w:r>
            <w:r/>
          </w:p>
        </w:tc>
      </w:tr>
      <w:tr>
        <w:trPr>
          <w:trHeight w:val="567"/>
        </w:trPr>
        <w:tc>
          <w:tcPr>
            <w:tcW w:w="1076" w:type="dxa"/>
            <w:vAlign w:val="center"/>
            <w:textDirection w:val="lrTb"/>
            <w:noWrap w:val="false"/>
          </w:tcPr>
          <w:p>
            <w:pPr>
              <w:jc w:val="center"/>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冷冻水产</w:t>
            </w:r>
            <w:r/>
          </w:p>
        </w:tc>
        <w:tc>
          <w:tcPr>
            <w:tcW w:w="3118" w:type="dxa"/>
            <w:vAlign w:val="center"/>
            <w:textDirection w:val="lrTb"/>
            <w:noWrap w:val="false"/>
          </w:tcPr>
          <w:p>
            <w:pPr>
              <w:jc w:val="left"/>
              <w:widowControl/>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符合鲜冻动物性水产品国家卫生标准（GB2733-20</w:t>
            </w:r>
            <w:r>
              <w:rPr>
                <w:rFonts w:hint="eastAsia" w:eastAsia="仿宋"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w:t>
            </w:r>
            <w:r/>
          </w:p>
        </w:tc>
        <w:tc>
          <w:tcPr>
            <w:tcW w:w="4137" w:type="dxa"/>
            <w:vAlign w:val="center"/>
            <w:textDirection w:val="lrTb"/>
            <w:noWrap w:val="false"/>
          </w:tcPr>
          <w:p>
            <w:pPr>
              <w:jc w:val="left"/>
              <w:widowControl/>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要求肉体冻实而坚硬，无化冻现象，肉质紧密而有弹性，色泽均匀，不粘手，交货时干净、新鲜、无异味，冷冻鱼类要求鱼眼睛清亮，角膜透明，鳞片上覆有冻结的透明黏液层，皮肤天然色泽明显。</w:t>
            </w:r>
            <w:r/>
          </w:p>
        </w:tc>
      </w:tr>
      <w:tr>
        <w:trPr>
          <w:trHeight w:val="1866"/>
        </w:trPr>
        <w:tc>
          <w:tcPr>
            <w:tcW w:w="1076" w:type="dxa"/>
            <w:vAlign w:val="center"/>
            <w:textDirection w:val="lrTb"/>
            <w:noWrap w:val="false"/>
          </w:tcPr>
          <w:p>
            <w:pPr>
              <w:jc w:val="center"/>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鲜活水产</w:t>
            </w:r>
            <w:r/>
          </w:p>
        </w:tc>
        <w:tc>
          <w:tcPr>
            <w:tcW w:w="3118" w:type="dxa"/>
            <w:vAlign w:val="center"/>
            <w:textDirection w:val="lrTb"/>
            <w:noWrap w:val="false"/>
          </w:tcPr>
          <w:p>
            <w:pPr>
              <w:jc w:val="left"/>
              <w:widowControl/>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产品标准符合GB2733-2015</w:t>
            </w:r>
            <w:r/>
          </w:p>
          <w:p>
            <w:pPr>
              <w:jc w:val="left"/>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《鲜、冻动物性水产品卫生标准》。</w:t>
            </w:r>
            <w:r/>
          </w:p>
        </w:tc>
        <w:tc>
          <w:tcPr>
            <w:tcW w:w="4137" w:type="dxa"/>
            <w:vAlign w:val="center"/>
            <w:textDirection w:val="lrTb"/>
            <w:noWrap w:val="false"/>
          </w:tcPr>
          <w:p>
            <w:pPr>
              <w:jc w:val="left"/>
              <w:widowControl/>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淡水鱼保证鲜活、大小基本统一，须保证处理干净、表面无鳞片、血迹、内脏清理彻底、无异味；肉质坚实有弹性，新鲜有光泽，有水产类的正常气味；海产类保证鲜活冷冻，码放整齐。</w:t>
            </w:r>
            <w:r/>
          </w:p>
        </w:tc>
      </w:tr>
      <w:tr>
        <w:trPr>
          <w:trHeight w:val="567"/>
        </w:trPr>
        <w:tc>
          <w:tcPr>
            <w:gridSpan w:val="3"/>
            <w:tcW w:w="8331" w:type="dxa"/>
            <w:textDirection w:val="lrTb"/>
            <w:noWrap w:val="false"/>
          </w:tcPr>
          <w:p>
            <w:pPr>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注： </w:t>
            </w:r>
            <w:r/>
          </w:p>
          <w:p>
            <w:pPr>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1. 鲜活水产送至时须去鳞、净膛、清洗完毕或现场完成以上工作。</w:t>
            </w:r>
            <w:r/>
          </w:p>
          <w:p>
            <w:pPr>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eastAsia" w:eastAsia="仿宋" w:cs="Times New Roman"/>
                <w:color w:val="000000" w:themeColor="text1"/>
                <w:sz w:val="24"/>
                <w:szCs w:val="24"/>
                <w:highlight w:val="none"/>
                <w:lang w:eastAsia="zh-CN"/>
                <w14:textFill>
                  <w14:solidFill>
                    <w14:schemeClr w14:val="tx1"/>
                  </w14:solidFill>
                </w14:textFill>
              </w:rPr>
              <w:t xml:space="preserve">2.</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冷冻水产需通过“SC”食品质量安全认证的产品需同时提供加盖供应商公章的食品质量安全认证证书。</w:t>
            </w:r>
            <w:r/>
          </w:p>
        </w:tc>
      </w:tr>
    </w:tbl>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2.</w:t>
      </w:r>
      <w:r>
        <w:rPr>
          <w:rFonts w:hint="default" w:ascii="Times New Roman" w:hAnsi="Times New Roman" w:eastAsia="仿宋" w:cs="Times New Roman"/>
          <w:color w:val="000000" w:themeColor="text1"/>
          <w:sz w:val="24"/>
          <w:highlight w:val="none"/>
          <w14:textFill>
            <w14:solidFill>
              <w14:schemeClr w14:val="tx1"/>
            </w14:solidFill>
          </w14:textFill>
        </w:rPr>
        <w:t xml:space="preserve">中标供应商所供食材如属于国家及相关部门规定必须具备相关检验检测报告的，供货时须同时提供相关检验检测报告，否则，采购人将拒绝签收。</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3.</w:t>
      </w:r>
      <w:r>
        <w:rPr>
          <w:rFonts w:hint="default" w:ascii="Times New Roman" w:hAnsi="Times New Roman" w:eastAsia="仿宋" w:cs="Times New Roman"/>
          <w:color w:val="000000" w:themeColor="text1"/>
          <w:sz w:val="24"/>
          <w:highlight w:val="none"/>
          <w14:textFill>
            <w14:solidFill>
              <w14:schemeClr w14:val="tx1"/>
            </w14:solidFill>
          </w14:textFill>
        </w:rPr>
        <w:t xml:space="preserve">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4.</w:t>
      </w:r>
      <w:r>
        <w:rPr>
          <w:rFonts w:hint="default" w:ascii="Times New Roman" w:hAnsi="Times New Roman" w:eastAsia="仿宋" w:cs="Times New Roman"/>
          <w:color w:val="000000" w:themeColor="text1"/>
          <w:sz w:val="24"/>
          <w:highlight w:val="none"/>
          <w14:textFill>
            <w14:solidFill>
              <w14:schemeClr w14:val="tx1"/>
            </w14:solidFill>
          </w14:textFill>
        </w:rPr>
        <w:t xml:space="preserve">中标供应商应严格遵守</w:t>
      </w:r>
      <w:r>
        <w:rPr>
          <w:rFonts w:hint="eastAsia" w:eastAsia="仿宋" w:cs="Times New Roman"/>
          <w:color w:val="000000" w:themeColor="text1"/>
          <w:sz w:val="24"/>
          <w:highlight w:val="none"/>
          <w:lang w:eastAsia="zh-CN"/>
          <w14:textFill>
            <w14:solidFill>
              <w14:schemeClr w14:val="tx1"/>
            </w14:solidFill>
          </w14:textFill>
        </w:rPr>
        <w:t xml:space="preserve">《中华人民共和国食品安全法》</w:t>
      </w:r>
      <w:r>
        <w:rPr>
          <w:rFonts w:hint="default" w:ascii="Times New Roman" w:hAnsi="Times New Roman" w:eastAsia="仿宋" w:cs="Times New Roman"/>
          <w:color w:val="000000" w:themeColor="text1"/>
          <w:sz w:val="24"/>
          <w:highlight w:val="none"/>
          <w14:textFill>
            <w14:solidFill>
              <w14:schemeClr w14:val="tx1"/>
            </w14:solidFill>
          </w14:textFill>
        </w:rPr>
        <w:t xml:space="preserve">和《</w:t>
      </w:r>
      <w:r>
        <w:rPr>
          <w:rFonts w:eastAsia="仿宋"/>
          <w:color w:val="000000" w:themeColor="text1"/>
          <w:sz w:val="24"/>
          <w:highlight w:val="none"/>
          <w14:textFill>
            <w14:solidFill>
              <w14:schemeClr w14:val="tx1"/>
            </w14:solidFill>
          </w14:textFill>
        </w:rPr>
        <w:t xml:space="preserve">动</w:t>
      </w:r>
      <w:r>
        <w:rPr>
          <w:rFonts w:hint="eastAsia" w:eastAsia="仿宋"/>
          <w:color w:val="000000" w:themeColor="text1"/>
          <w:sz w:val="24"/>
          <w:highlight w:val="none"/>
          <w:lang w:val="en-US" w:eastAsia="zh-CN"/>
          <w14:textFill>
            <w14:solidFill>
              <w14:schemeClr w14:val="tx1"/>
            </w14:solidFill>
          </w14:textFill>
        </w:rPr>
        <w:t xml:space="preserve">植</w:t>
      </w:r>
      <w:r>
        <w:rPr>
          <w:rFonts w:eastAsia="仿宋"/>
          <w:color w:val="000000" w:themeColor="text1"/>
          <w:sz w:val="24"/>
          <w:highlight w:val="none"/>
          <w14:textFill>
            <w14:solidFill>
              <w14:schemeClr w14:val="tx1"/>
            </w14:solidFill>
          </w14:textFill>
        </w:rPr>
        <w:t xml:space="preserve">物检疫法</w:t>
      </w:r>
      <w:r>
        <w:rPr>
          <w:rFonts w:hint="default" w:ascii="Times New Roman" w:hAnsi="Times New Roman" w:eastAsia="仿宋" w:cs="Times New Roman"/>
          <w:color w:val="000000" w:themeColor="text1"/>
          <w:sz w:val="24"/>
          <w:highlight w:val="none"/>
          <w14:textFill>
            <w14:solidFill>
              <w14:schemeClr w14:val="tx1"/>
            </w14:solidFill>
          </w14:textFill>
        </w:rPr>
        <w:t xml:space="preserve">》等相关规定，不得供应以下食材，一经发现供应以下食材，中标供应商全部退货，同时还应承担由此造成的经济责任和法律责任：</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（1）腐败变质、油脂酸败、霉变、生虫、污秽不洁、混有异物或者其他感官性状异常，对人体健康有害的；</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（2）含有毒、有害物质或者被有害物质污染，对人体健康有害的；</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（3）含有致病性寄生虫、微生物或者微生物含量超过国家限定标准的；</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（4）未经动物检疫部门检疫、检验或者检疫、检验不合格的水产类及其制品；</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（5）病死、毒死或者死因不明的禽、畜、兽、水产动物等及其制品；</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（6）掺假、掺杂、伪造，影响营养、卫生的；</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（7）用非食品原料加工的，加入非食品用化学物质或者将非食品当作食品的；</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（8）超过保质期限的。</w:t>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四、人员管理及仓储要求</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1.供应商应具有一定食品安全法律知识及食品管理技能的专职或者兼职食品安全管理</w:t>
      </w:r>
      <w:r>
        <w:rPr>
          <w:rFonts w:hint="eastAsia" w:eastAsia="仿宋" w:cs="Times New Roman"/>
          <w:color w:val="000000" w:themeColor="text1"/>
          <w:sz w:val="24"/>
          <w:highlight w:val="none"/>
          <w:lang w:eastAsia="zh-CN"/>
          <w14:textFill>
            <w14:solidFill>
              <w14:schemeClr w14:val="tx1"/>
            </w14:solidFill>
          </w14:textFill>
        </w:rPr>
        <w:t xml:space="preserve">人员</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2.中标供应商须建立健全食品安全管理十项制度和从业人员健康管理制度。</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3.中标供应商应具有自有食材基地以及与所供应配送的食材品种、数量相适应的仓储设备及相关条件；保持仓库环境整洁，同时仓库内食材应</w:t>
      </w:r>
      <w:r>
        <w:rPr>
          <w:rFonts w:hint="eastAsia" w:eastAsia="仿宋" w:cs="Times New Roman"/>
          <w:color w:val="000000" w:themeColor="text1"/>
          <w:sz w:val="24"/>
          <w:highlight w:val="none"/>
          <w:lang w:eastAsia="zh-CN"/>
          <w14:textFill>
            <w14:solidFill>
              <w14:schemeClr w14:val="tx1"/>
            </w14:solidFill>
          </w14:textFill>
        </w:rPr>
        <w:t xml:space="preserve">摆放</w:t>
      </w:r>
      <w:r>
        <w:rPr>
          <w:rFonts w:hint="default" w:ascii="Times New Roman" w:hAnsi="Times New Roman" w:eastAsia="仿宋" w:cs="Times New Roman"/>
          <w:color w:val="000000" w:themeColor="text1"/>
          <w:sz w:val="24"/>
          <w:highlight w:val="none"/>
          <w14:textFill>
            <w14:solidFill>
              <w14:schemeClr w14:val="tx1"/>
            </w14:solidFill>
          </w14:textFill>
        </w:rPr>
        <w:t xml:space="preserve">有序并与有毒、有害场所以及其他污染源保持规定的距离。</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4.采购、出入库、配送等相关人员必须取得卫生部门出具的健康证，工作时做到个人仪表整洁。配送人员及数量必须与采购人报备的一致，且送货时必须佩戴经营单位的食品配送上岗证。</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配送车辆的数量、型号及配送人员必须到食品配送地市场监督部门备案，且在配送期内进行配送的车辆、人员必须与市场监督部门备案内容一致。配送车辆上必须粘贴配送标识，车辆要保持清洁，在食材配送过程中不得与其他产品混装。</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五、食材配送及交货要求</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1.中标供应商食材供货配送必须具备食品经营的法定条件，所配送的食材必须符合《中华人民共和国食品安全法》</w:t>
      </w:r>
      <w:r>
        <w:rPr>
          <w:rFonts w:hint="eastAsia" w:eastAsia="仿宋" w:cs="Times New Roman"/>
          <w:color w:val="000000" w:themeColor="text1"/>
          <w:sz w:val="24"/>
          <w:highlight w:val="none"/>
          <w:lang w:eastAsia="zh-CN"/>
          <w14:textFill>
            <w14:solidFill>
              <w14:schemeClr w14:val="tx1"/>
            </w14:solidFill>
          </w14:textFill>
        </w:rPr>
        <w:t xml:space="preserve">第二十</w:t>
      </w:r>
      <w:r>
        <w:rPr>
          <w:rFonts w:hint="eastAsia" w:eastAsia="仿宋" w:cs="Times New Roman"/>
          <w:color w:val="000000" w:themeColor="text1"/>
          <w:sz w:val="24"/>
          <w:highlight w:val="none"/>
          <w:lang w:val="en-US" w:eastAsia="zh-CN"/>
          <w14:textFill>
            <w14:solidFill>
              <w14:schemeClr w14:val="tx1"/>
            </w14:solidFill>
          </w14:textFill>
        </w:rPr>
        <w:t xml:space="preserve">六</w:t>
      </w:r>
      <w:r>
        <w:rPr>
          <w:rFonts w:hint="eastAsia" w:eastAsia="仿宋" w:cs="Times New Roman"/>
          <w:color w:val="000000" w:themeColor="text1"/>
          <w:sz w:val="24"/>
          <w:highlight w:val="none"/>
          <w:lang w:eastAsia="zh-CN"/>
          <w14:textFill>
            <w14:solidFill>
              <w14:schemeClr w14:val="tx1"/>
            </w14:solidFill>
          </w14:textFill>
        </w:rPr>
        <w:t xml:space="preserve">条，</w:t>
      </w:r>
      <w:r>
        <w:rPr>
          <w:rFonts w:hint="default" w:ascii="Times New Roman" w:hAnsi="Times New Roman" w:eastAsia="仿宋" w:cs="Times New Roman"/>
          <w:color w:val="000000" w:themeColor="text1"/>
          <w:sz w:val="24"/>
          <w:highlight w:val="none"/>
          <w14:textFill>
            <w14:solidFill>
              <w14:schemeClr w14:val="tx1"/>
            </w14:solidFill>
          </w14:textFill>
        </w:rPr>
        <w:t xml:space="preserve">《中华人民共和国产品质量法》第二十七条的规定，对社会和公众负责，保证食品安全，承担社会责任，接受社会监督。</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2.食材供货配送必须建立完善的质量承诺制度，并具有与该承诺相适应的财务保障。</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日常情况下，采购人提前12小时或24小时以传真、邮件或电话形式告知中标供应商供应的食材种类、数量及交货地点，中标供应商应对订单进行确认；中标供应商未于下单日当天明确表示不能配送的，则视为确认。</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中标供应商须于交货日按照采购人通知的时间、数量、品种、品质要求准时送货，经验收合格后签字确认并进行卸货，运费自理，不能以任何理由推脱，一旦影响到食堂正常供应，中标供应商应承担相应的经济赔偿。</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6.交货地点：雨花南路2号和竹影路5号。</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9.冷藏、冷冻食品和冷冻水产品必须用冷藏、冷冻运输，应当有必要的保温设备并在整个运输过程中保持安全的冷藏、冷冻温度。整个运输过程应科学合理，运输车辆应定期清洁，保持性能稳定，符合规定的温度要求，使运输食品处于恒定的环境中。</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10.送货车辆实行一小时配送圈运作，目的地在一小时内的用保温车配送，一小时以外的制冷车配送，保证运输过程冷链不中断。产品到达目的地时外包装箱完整干爽，无软化、无寄生虫或已受虫害现象。</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11.中标供应商须随时接受采购人或相关单位的随机抽样检查，检验费用由中标供应商支付。</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抽查发现食品安全质量问题的处理，对危及人身安全的食品质量问题采取零容忍措施，如产品发现腐败变质，且未被抽查出，而在加工食用前发现质量问题，采购人有权取消中标供应商供货资格，同时与其解除合同。中标供应商须承担相应的民事及刑事法律责任及放弃先诉抗辩权。</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13.采购人对食材提出的质量异议时，保证在30分钟以内作出答复，并妥善商处。无法在30分钟内解决的，应在1个小时内提供备用产品，使采购人能够正常使用。</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14.规格包装的食材交付时，必须原包装完好无损，否则采购人有权拒收。</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六、培训服务承诺及措施</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1.中标供应商应做好食材供应服务，切实做到人员到位，服务到位，切实保障采购人合法权益。</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2.中标供应商保证产品在采购人规定时间内送达指定地点，由采购人指定专人进行验收，验收合格签字认可。</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中标供应商严格按照《中华人民共和国产品质量法》等相关规定，严格保证食材质量符合国家相关产品质量标准，在供应过程中如出现因食用其提供食材导致食物中毒的事故发生，中标供应商对此承担一切法律责任。</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4.如采购人或相关部门对中标供应商产品质量有异议，有权提出改进意见。</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5.每年中标供应商应对相关人员进行一次培训。</w:t>
      </w:r>
      <w:r/>
    </w:p>
    <w:p>
      <w:pP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七、廉政要求</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为认真贯彻党中央、国务院关于大抓源头治理，标本兼治的精神，推进廉政建设，预防和减少经济犯罪以及违纪、违法行为的发生，加大食材采购环节透明力度，各中标供应商应在供货前同采购人签订反商业贿赂条约，严格遵守条约上的要求，确保食材采购安全卫生、科学营养、廉洁规范。</w:t>
      </w:r>
      <w:r/>
    </w:p>
    <w:p>
      <w:pPr>
        <w:spacing w:line="360" w:lineRule="auto"/>
        <w:widowControl/>
        <w:rPr>
          <w:rFonts w:hint="eastAsia" w:ascii="Times New Roman" w:hAnsi="Times New Roman" w:eastAsia="仿宋" w:cs="Times New Roman"/>
          <w:b/>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八、报价</w:t>
      </w:r>
      <w:r>
        <w:rPr>
          <w:rFonts w:hint="eastAsia" w:eastAsia="仿宋" w:cs="Times New Roman"/>
          <w:b/>
          <w:color w:val="000000" w:themeColor="text1"/>
          <w:sz w:val="24"/>
          <w:highlight w:val="none"/>
          <w:lang w:val="en-US" w:eastAsia="zh-CN"/>
          <w14:textFill>
            <w14:solidFill>
              <w14:schemeClr w14:val="tx1"/>
            </w14:solidFill>
          </w14:textFill>
        </w:rPr>
        <w:t xml:space="preserve">说明</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1.本项目水产采购食材清单由采购人根据每批次需要自主选定，本次报价包含：商品价、运输费（含装卸费）、人工费、保险费、税费、培训费、食材配送到采购人指定地点等的所有费用。</w:t>
      </w:r>
      <w:r/>
    </w:p>
    <w:p>
      <w:pPr>
        <w:ind w:firstLine="474"/>
        <w:spacing w:line="360" w:lineRule="auto"/>
        <w:widowControl/>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
          <w:bCs/>
          <w:color w:val="000000" w:themeColor="text1"/>
          <w:spacing w:val="-2"/>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w:t>
      </w:r>
      <w:r>
        <w:rPr>
          <w:rFonts w:hint="eastAsia" w:eastAsia="仿宋" w:cs="Times New Roman"/>
          <w:b/>
          <w:bCs/>
          <w:color w:val="000000" w:themeColor="text1"/>
          <w:sz w:val="24"/>
          <w:highlight w:val="none"/>
          <w:lang w:val="en-US" w:eastAsia="zh-CN"/>
          <w14:textFill>
            <w14:solidFill>
              <w14:schemeClr w14:val="tx1"/>
            </w14:solidFill>
          </w14:textFill>
        </w:rPr>
        <w:t xml:space="preserve">报价要求</w:t>
      </w:r>
      <w:r/>
    </w:p>
    <w:tbl>
      <w:tblPr>
        <w:tblStyle w:val="793"/>
        <w:tblW w:w="8931" w:type="dxa"/>
        <w:tblInd w:w="108" w:type="dxa"/>
        <w:tblLayout w:type="fixed"/>
        <w:tblCellMar>
          <w:left w:w="108" w:type="dxa"/>
          <w:top w:w="0" w:type="dxa"/>
          <w:right w:w="108" w:type="dxa"/>
          <w:bottom w:w="0" w:type="dxa"/>
        </w:tblCellMar>
        <w:tblLook w:val="04A0" w:firstRow="1" w:lastRow="0" w:firstColumn="1" w:lastColumn="0" w:noHBand="0" w:noVBand="1"/>
      </w:tblPr>
      <w:tblGrid>
        <w:gridCol w:w="1276"/>
        <w:gridCol w:w="3402"/>
        <w:gridCol w:w="4253"/>
      </w:tblGrid>
      <w:tr>
        <w:trPr>
          <w:trHeight w:val="522"/>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品目名称</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tcPr>
          <w:p>
            <w:pPr>
              <w:jc w:val="cente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限制浮动比例要求</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tcPr>
          <w:p>
            <w:pPr>
              <w:jc w:val="cente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备注</w:t>
            </w:r>
            <w:r/>
          </w:p>
        </w:tc>
      </w:tr>
      <w:tr>
        <w:trPr>
          <w:trHeight w:val="90"/>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水产类</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tcPr>
          <w:p>
            <w:pP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仅可填报下浮比例且不低于8%</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tcPr>
          <w:p>
            <w:pP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以南京市发展和改革委员会官网公示的定价月最后一次“农贸市场主副食品价格行情表”中的平均价为基础，如官网最后一次未公布的则依顺序前推；如南京市发展和改革委员会官网未有的；以采购人调研附近大型农贸市场（能仁里农贸市场）价格为基础，进行下浮</w:t>
            </w:r>
            <w:r>
              <w:rPr>
                <w:rFonts w:hint="eastAsia" w:eastAsia="仿宋" w:cs="Times New Roman"/>
                <w:color w:val="000000" w:themeColor="text1"/>
                <w:sz w:val="24"/>
                <w:highlight w:val="none"/>
                <w:lang w:val="en-US" w:eastAsia="zh-CN"/>
                <w14:textFill>
                  <w14:solidFill>
                    <w14:schemeClr w14:val="tx1"/>
                  </w14:solidFill>
                </w14:textFill>
              </w:rPr>
              <w:t xml:space="preserve">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比例，且</w:t>
            </w:r>
            <w:r>
              <w:rPr>
                <w:rFonts w:hint="default" w:ascii="Times New Roman" w:hAnsi="Times New Roman" w:eastAsia="仿宋" w:cs="Times New Roman"/>
                <w:color w:val="000000" w:themeColor="text1"/>
                <w:sz w:val="24"/>
                <w:highlight w:val="none"/>
                <w14:textFill>
                  <w14:solidFill>
                    <w14:schemeClr w14:val="tx1"/>
                  </w14:solidFill>
                </w14:textFill>
              </w:rPr>
              <w:t xml:space="preserve">下浮比例不低于8%。</w:t>
            </w:r>
            <w:r/>
          </w:p>
        </w:tc>
      </w:tr>
    </w:tbl>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3.为方便采购人与三家中标供应商结算食材费用，本项目下浮比例为所有水产食材统一下浮比例，请各供应商予以关注，并进行合理测算其下浮比例</w:t>
      </w:r>
      <w:r>
        <w:rPr>
          <w:rFonts w:hint="eastAsia" w:eastAsia="仿宋"/>
          <w:color w:val="000000" w:themeColor="text1"/>
          <w:sz w:val="24"/>
          <w:highlight w:val="none"/>
          <w:lang w:eastAsia="zh-CN"/>
          <w14:textFill>
            <w14:solidFill>
              <w14:schemeClr w14:val="tx1"/>
            </w14:solidFill>
          </w14:textFill>
        </w:rPr>
        <w:t xml:space="preserve">（</w:t>
      </w:r>
      <w:r>
        <w:rPr>
          <w:rFonts w:hint="eastAsia" w:eastAsia="仿宋"/>
          <w:color w:val="000000" w:themeColor="text1"/>
          <w:sz w:val="24"/>
          <w:highlight w:val="none"/>
          <w:lang w:val="en-US" w:eastAsia="zh-CN"/>
          <w14:textFill>
            <w14:solidFill>
              <w14:schemeClr w14:val="tx1"/>
            </w14:solidFill>
          </w14:textFill>
        </w:rPr>
        <w:t xml:space="preserve">即优惠率报价</w:t>
      </w:r>
      <w:r>
        <w:rPr>
          <w:rFonts w:hint="eastAsia" w:eastAsia="仿宋"/>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九、付款方式</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1.采购人与中标供应商每月15日前后结算一次食材价款（次月初结算上月），由各中标供应商每月自行提出书面申请，并提供以下相关资料：</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（1）中标供应商每月供货清单（含供应水产种类、产地、规格、数量）；</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（2）经采购人相关人员验收签收凭证（一式两份，双方签字）；</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（3）采购人根据实际情况要求的其他材料等。</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2.上述材料经双方核实确认无误后，由中标供应商提供相应的等额发票，采购人在收到发票后10个工作日内支付上月食材供应价款。</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3.各中标供应商每月结算食材价款时须严格按照采购人所确定之价格进行计算申报，其提供的所有结算资料均须真实有效、准确</w:t>
      </w:r>
      <w:r>
        <w:rPr>
          <w:rFonts w:hint="eastAsia" w:eastAsia="仿宋" w:cs="Times New Roman"/>
          <w:color w:val="000000" w:themeColor="text1"/>
          <w:sz w:val="24"/>
          <w:highlight w:val="none"/>
          <w:lang w:eastAsia="zh-CN"/>
          <w14:textFill>
            <w14:solidFill>
              <w14:schemeClr w14:val="tx1"/>
            </w14:solidFill>
          </w14:textFill>
        </w:rPr>
        <w:t xml:space="preserve">翔实</w:t>
      </w:r>
      <w:r>
        <w:rPr>
          <w:rFonts w:hint="default" w:ascii="Times New Roman" w:hAnsi="Times New Roman" w:eastAsia="仿宋" w:cs="Times New Roman"/>
          <w:color w:val="000000" w:themeColor="text1"/>
          <w:sz w:val="24"/>
          <w:highlight w:val="none"/>
          <w14:textFill>
            <w14:solidFill>
              <w14:schemeClr w14:val="tx1"/>
            </w14:solidFill>
          </w14:textFill>
        </w:rPr>
        <w:t xml:space="preserve">、有迹可循，如经采购人发现弄虚作假，一经查实，采购人将解除合同，并依法追究中标供应商的经济和法律责任。</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十、其他要求</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1.中标供应商应建立进货查验记录制度与食材安全追溯体系，建立票、据、证档案，采购人有权定期检查。</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2.中标供应商应指定专人负责处理本项目合同涉及的所有业务与事宜，并做好相关售后服务工作。</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3.供应商</w:t>
      </w:r>
      <w:r>
        <w:rPr>
          <w:rFonts w:hint="eastAsia" w:eastAsia="仿宋" w:cs="Times New Roman"/>
          <w:color w:val="000000" w:themeColor="text1"/>
          <w:sz w:val="24"/>
          <w:highlight w:val="none"/>
          <w:lang w:val="en-US" w:eastAsia="zh-CN"/>
          <w14:textFill>
            <w14:solidFill>
              <w14:schemeClr w14:val="tx1"/>
            </w14:solidFill>
          </w14:textFill>
        </w:rPr>
        <w:t xml:space="preserve">应</w:t>
      </w:r>
      <w:r>
        <w:rPr>
          <w:rFonts w:hint="default" w:ascii="Times New Roman" w:hAnsi="Times New Roman" w:eastAsia="仿宋" w:cs="Times New Roman"/>
          <w:color w:val="000000" w:themeColor="text1"/>
          <w:sz w:val="24"/>
          <w:highlight w:val="none"/>
          <w14:textFill>
            <w14:solidFill>
              <w14:schemeClr w14:val="tx1"/>
            </w14:solidFill>
          </w14:textFill>
        </w:rPr>
        <w:t xml:space="preserve">承诺，如中标后同意提供采购人要求的与其投标有关的一切数据和资料，并保证其所提供数据资料的真实性与准确性。</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十一、特别说明</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1.本章“采购需求”中所有要求均为实质性要求，不可负偏离，否则作为无效投标。</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2.本章“采购需求”中所有要求</w:t>
      </w:r>
      <w:r>
        <w:rPr>
          <w:rFonts w:hint="eastAsia" w:eastAsia="仿宋"/>
          <w:color w:val="000000" w:themeColor="text1"/>
          <w:sz w:val="24"/>
          <w:highlight w:val="none"/>
          <w:lang w:val="en-US" w:eastAsia="zh-CN"/>
          <w14:textFill>
            <w14:solidFill>
              <w14:schemeClr w14:val="tx1"/>
            </w14:solidFill>
          </w14:textFill>
        </w:rPr>
        <w:t xml:space="preserve">均为</w:t>
      </w:r>
      <w:r>
        <w:rPr>
          <w:rFonts w:hint="default" w:ascii="Times New Roman" w:hAnsi="Times New Roman" w:eastAsia="仿宋" w:cs="Times New Roman"/>
          <w:color w:val="000000" w:themeColor="text1"/>
          <w:sz w:val="24"/>
          <w:highlight w:val="none"/>
          <w14:textFill>
            <w14:solidFill>
              <w14:schemeClr w14:val="tx1"/>
            </w14:solidFill>
          </w14:textFill>
        </w:rPr>
        <w:t xml:space="preserve">政府采购合同不可分割的一部分，中标供应商在项目实施过程中应严格按照采购需求中的各项要求、合同中的各项条款、采购人要求以及投标文件中确定的事项和承诺履行本项目。</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3.采购人将根据实际采购供应需求让中标供应商</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w:t>
      </w:r>
      <w:r>
        <w:rPr>
          <w:rFonts w:hint="default" w:ascii="Times New Roman" w:hAnsi="Times New Roman" w:eastAsia="仿宋" w:cs="Times New Roman"/>
          <w:color w:val="000000" w:themeColor="text1"/>
          <w:sz w:val="24"/>
          <w:highlight w:val="none"/>
          <w14:textFill>
            <w14:solidFill>
              <w14:schemeClr w14:val="tx1"/>
            </w14:solidFill>
          </w14:textFill>
        </w:rPr>
        <w:t xml:space="preserve">相应的订单，采购人不保证在中标供应商中平均分配，同时采购人不保证年采购金额一定达到项目预算。</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十二、考核办法</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1.采购</w:t>
      </w:r>
      <w:r>
        <w:rPr>
          <w:rFonts w:hint="eastAsia" w:eastAsia="仿宋" w:cs="Times New Roman"/>
          <w:color w:val="000000" w:themeColor="text1"/>
          <w:sz w:val="24"/>
          <w:highlight w:val="none"/>
          <w:lang w:val="en-US" w:eastAsia="zh-CN"/>
          <w14:textFill>
            <w14:solidFill>
              <w14:schemeClr w14:val="tx1"/>
            </w14:solidFill>
          </w14:textFill>
        </w:rPr>
        <w:t xml:space="preserve">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每个月将对供应商上个月的供货情况进行评价及打分，作为调整供应商供货比例的依据；</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2.采购</w:t>
      </w:r>
      <w:r>
        <w:rPr>
          <w:rFonts w:hint="eastAsia" w:eastAsia="仿宋" w:cs="Times New Roman"/>
          <w:color w:val="000000" w:themeColor="text1"/>
          <w:sz w:val="24"/>
          <w:highlight w:val="none"/>
          <w:lang w:val="en-US" w:eastAsia="zh-CN"/>
          <w14:textFill>
            <w14:solidFill>
              <w14:schemeClr w14:val="tx1"/>
            </w14:solidFill>
          </w14:textFill>
        </w:rPr>
        <w:t xml:space="preserve">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有权根据上一年度的考核结果调整下一年度的供应商供货比例。</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bookmarkEnd w:id="150"/>
      <w:r/>
    </w:p>
    <w:p>
      <w:pP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br w:type="page" w:clear="all"/>
      </w:r>
      <w:bookmarkEnd w:id="148"/>
      <w:bookmarkEnd w:id="149"/>
      <w:r/>
    </w:p>
    <w:p>
      <w:pPr>
        <w:pStyle w:val="783"/>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bookmarkStart w:id="151" w:name="_Toc28129"/>
      <w:r/>
      <w:bookmarkStart w:id="152" w:name="_Toc19998"/>
      <w:r/>
      <w:bookmarkStart w:id="153" w:name="_Toc13325"/>
      <w:r>
        <w:rPr>
          <w:rFonts w:hint="default" w:ascii="Times New Roman" w:hAnsi="Times New Roman" w:eastAsia="仿宋" w:cs="Times New Roman"/>
          <w:color w:val="000000" w:themeColor="text1"/>
          <w:szCs w:val="32"/>
          <w:highlight w:val="none"/>
          <w14:textFill>
            <w14:solidFill>
              <w14:schemeClr w14:val="tx1"/>
            </w14:solidFill>
          </w14:textFill>
        </w:rPr>
        <w:t xml:space="preserve">合同主要条款及格式</w:t>
      </w:r>
      <w:bookmarkEnd w:id="151"/>
      <w:r/>
      <w:bookmarkEnd w:id="152"/>
      <w:r/>
      <w:bookmarkEnd w:id="153"/>
      <w:r/>
      <w:r/>
    </w:p>
    <w:p>
      <w:pPr>
        <w:jc w:val="center"/>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841"/>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1000" w:lineRule="exact"/>
        <w:rPr>
          <w:rFonts w:hint="default" w:ascii="Times New Roman" w:hAnsi="Times New Roman" w:eastAsia="仿宋" w:cs="Times New Roman"/>
          <w:bCs/>
          <w:color w:val="000000" w:themeColor="text1"/>
          <w:sz w:val="52"/>
          <w:szCs w:val="52"/>
          <w:highlight w:val="none"/>
          <w14:textFill>
            <w14:solidFill>
              <w14:schemeClr w14:val="tx1"/>
            </w14:solidFill>
          </w14:textFill>
        </w:rPr>
      </w:pPr>
      <w:r>
        <w:rPr>
          <w:rFonts w:hint="default" w:ascii="Times New Roman" w:hAnsi="Times New Roman" w:eastAsia="仿宋" w:cs="Times New Roman"/>
          <w:bCs/>
          <w:color w:val="000000" w:themeColor="text1"/>
          <w:sz w:val="52"/>
          <w:szCs w:val="52"/>
          <w:highlight w:val="none"/>
          <w14:textFill>
            <w14:solidFill>
              <w14:schemeClr w14:val="tx1"/>
            </w14:solidFill>
          </w14:textFill>
        </w:rPr>
      </w:r>
      <w:r/>
    </w:p>
    <w:p>
      <w:pPr>
        <w:jc w:val="center"/>
        <w:rPr>
          <w:rFonts w:hint="default" w:ascii="Times New Roman" w:hAnsi="Times New Roman" w:eastAsia="仿宋" w:cs="Times New Roman"/>
          <w:b/>
          <w:color w:val="000000" w:themeColor="text1"/>
          <w:sz w:val="44"/>
          <w:szCs w:val="44"/>
          <w:highlight w:val="none"/>
          <w14:textFill>
            <w14:solidFill>
              <w14:schemeClr w14:val="tx1"/>
            </w14:solidFill>
          </w14:textFill>
        </w:rPr>
      </w:pPr>
      <w:r>
        <w:rPr>
          <w:rFonts w:hint="default" w:ascii="Times New Roman" w:hAnsi="Times New Roman" w:eastAsia="仿宋" w:cs="Times New Roman"/>
          <w:b/>
          <w:color w:val="000000" w:themeColor="text1"/>
          <w:sz w:val="52"/>
          <w:szCs w:val="52"/>
          <w:highlight w:val="none"/>
          <w14:textFill>
            <w14:solidFill>
              <w14:schemeClr w14:val="tx1"/>
            </w14:solidFill>
          </w14:textFill>
        </w:rPr>
        <w:t xml:space="preserve">南京市政府采购合同</w:t>
      </w:r>
      <w:r/>
    </w:p>
    <w:p>
      <w:pPr>
        <w:rPr>
          <w:rFonts w:hint="default" w:ascii="Times New Roman" w:hAnsi="Times New Roman" w:eastAsia="仿宋" w:cs="Times New Roman"/>
          <w:color w:val="000000" w:themeColor="text1"/>
          <w:sz w:val="44"/>
          <w:szCs w:val="44"/>
          <w:highlight w:val="none"/>
          <w14:textFill>
            <w14:solidFill>
              <w14:schemeClr w14:val="tx1"/>
            </w14:solidFill>
          </w14:textFill>
        </w:rPr>
      </w:pPr>
      <w:r>
        <w:rPr>
          <w:rFonts w:hint="default" w:ascii="Times New Roman" w:hAnsi="Times New Roman" w:eastAsia="仿宋" w:cs="Times New Roman"/>
          <w:color w:val="000000" w:themeColor="text1"/>
          <w:sz w:val="44"/>
          <w:szCs w:val="44"/>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ind w:firstLine="2249"/>
        <w:spacing w:line="480" w:lineRule="auto"/>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ind w:firstLine="2249"/>
        <w:spacing w:line="480" w:lineRule="auto"/>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ind w:firstLine="2249"/>
        <w:spacing w:line="480" w:lineRule="auto"/>
        <w:rPr>
          <w:rFonts w:hint="default" w:ascii="Times New Roman" w:hAnsi="Times New Roman" w:eastAsia="仿宋"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t xml:space="preserve">合同编号</w:t>
      </w:r>
      <w:r>
        <w:rPr>
          <w:rFonts w:hint="eastAsia" w:eastAsia="仿宋" w:cs="Times New Roman"/>
          <w:b/>
          <w:bCs/>
          <w:color w:val="000000" w:themeColor="text1"/>
          <w:sz w:val="28"/>
          <w:szCs w:val="28"/>
          <w:highlight w:val="none"/>
          <w:lang w:eastAsia="zh-CN"/>
          <w14:textFill>
            <w14:solidFill>
              <w14:schemeClr w14:val="tx1"/>
            </w14:solidFill>
          </w14:textFill>
        </w:rPr>
        <w:t xml:space="preserve">：</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u w:val="single"/>
          <w:lang w:val="en-US" w:eastAsia="zh-CN"/>
          <w14:textFill>
            <w14:solidFill>
              <w14:schemeClr w14:val="tx1"/>
            </w14:solidFill>
          </w14:textFill>
        </w:rPr>
        <w:t xml:space="preserve">          </w:t>
      </w:r>
      <w:r/>
    </w:p>
    <w:p>
      <w:pPr>
        <w:ind w:firstLine="2249"/>
        <w:spacing w:line="480" w:lineRule="auto"/>
        <w:rPr>
          <w:rFonts w:hint="default" w:ascii="Times New Roman" w:hAnsi="Times New Roman" w:eastAsia="仿宋"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t xml:space="preserve">项目名称</w:t>
      </w:r>
      <w:r>
        <w:rPr>
          <w:rFonts w:hint="eastAsia" w:eastAsia="仿宋" w:cs="Times New Roman"/>
          <w:b/>
          <w:bCs/>
          <w:color w:val="000000" w:themeColor="text1"/>
          <w:sz w:val="28"/>
          <w:szCs w:val="28"/>
          <w:highlight w:val="none"/>
          <w:lang w:eastAsia="zh-CN"/>
          <w14:textFill>
            <w14:solidFill>
              <w14:schemeClr w14:val="tx1"/>
            </w14:solidFill>
          </w14:textFill>
        </w:rPr>
        <w:t xml:space="preserve">：</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u w:val="single"/>
          <w:lang w:val="en-US" w:eastAsia="zh-CN"/>
          <w14:textFill>
            <w14:solidFill>
              <w14:schemeClr w14:val="tx1"/>
            </w14:solidFill>
          </w14:textFill>
        </w:rPr>
        <w:t xml:space="preserve">          </w:t>
      </w:r>
      <w:r/>
    </w:p>
    <w:p>
      <w:pPr>
        <w:ind w:firstLine="2249"/>
        <w:spacing w:line="480" w:lineRule="auto"/>
        <w:rPr>
          <w:rFonts w:hint="default" w:ascii="Times New Roman" w:hAnsi="Times New Roman" w:eastAsia="仿宋" w:cs="Times New Roman"/>
          <w:b/>
          <w:bCs/>
          <w:color w:val="000000" w:themeColor="text1"/>
          <w:sz w:val="28"/>
          <w:szCs w:val="28"/>
          <w:highlight w:val="none"/>
          <w:lang w:val="en-US"/>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t xml:space="preserve">采 购 人</w:t>
      </w:r>
      <w:r>
        <w:rPr>
          <w:rFonts w:hint="eastAsia" w:eastAsia="仿宋" w:cs="Times New Roman"/>
          <w:b/>
          <w:bCs/>
          <w:color w:val="000000" w:themeColor="text1"/>
          <w:sz w:val="28"/>
          <w:szCs w:val="28"/>
          <w:highlight w:val="none"/>
          <w:lang w:eastAsia="zh-CN"/>
          <w14:textFill>
            <w14:solidFill>
              <w14:schemeClr w14:val="tx1"/>
            </w14:solidFill>
          </w14:textFill>
        </w:rPr>
        <w:t xml:space="preserve">：</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u w:val="singl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p>
    <w:p>
      <w:pPr>
        <w:ind w:firstLine="2249"/>
        <w:spacing w:line="480" w:lineRule="auto"/>
        <w:rPr>
          <w:rFonts w:hint="default" w:ascii="Times New Roman" w:hAnsi="Times New Roman" w:eastAsia="仿宋" w:cs="Times New Roman"/>
          <w:b/>
          <w:bCs/>
          <w:color w:val="000000" w:themeColor="text1"/>
          <w:sz w:val="28"/>
          <w:szCs w:val="28"/>
          <w:highlight w:val="none"/>
          <w:lang w:val="en-US"/>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t xml:space="preserve">供 应 商</w:t>
      </w:r>
      <w:r>
        <w:rPr>
          <w:rFonts w:hint="eastAsia" w:eastAsia="仿宋" w:cs="Times New Roman"/>
          <w:b/>
          <w:bCs/>
          <w:color w:val="000000" w:themeColor="text1"/>
          <w:sz w:val="28"/>
          <w:szCs w:val="28"/>
          <w:highlight w:val="none"/>
          <w:lang w:eastAsia="zh-CN"/>
          <w14:textFill>
            <w14:solidFill>
              <w14:schemeClr w14:val="tx1"/>
            </w14:solidFill>
          </w14:textFill>
        </w:rPr>
        <w:t xml:space="preserve">：</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u w:val="single"/>
          <w:lang w:val="en-US" w:eastAsia="zh-CN"/>
          <w14:textFill>
            <w14:solidFill>
              <w14:schemeClr w14:val="tx1"/>
            </w14:solidFill>
          </w14:textFill>
        </w:rPr>
        <w:t xml:space="preserve">          </w:t>
      </w:r>
      <w:r/>
    </w:p>
    <w:p>
      <w:pPr>
        <w:ind w:firstLine="2249"/>
        <w:spacing w:line="480" w:lineRule="auto"/>
        <w:rPr>
          <w:rFonts w:hint="default" w:ascii="Times New Roman" w:hAnsi="Times New Roman" w:eastAsia="仿宋" w:cs="Times New Roman"/>
          <w:b/>
          <w:bCs/>
          <w:color w:val="000000" w:themeColor="text1"/>
          <w:sz w:val="28"/>
          <w:szCs w:val="28"/>
          <w:highlight w:val="none"/>
          <w:lang w:val="en-US"/>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t xml:space="preserve">签订日期</w:t>
      </w:r>
      <w:r>
        <w:rPr>
          <w:rFonts w:hint="eastAsia" w:eastAsia="仿宋" w:cs="Times New Roman"/>
          <w:b/>
          <w:bCs/>
          <w:color w:val="000000" w:themeColor="text1"/>
          <w:sz w:val="28"/>
          <w:szCs w:val="28"/>
          <w:highlight w:val="none"/>
          <w:lang w:eastAsia="zh-CN"/>
          <w14:textFill>
            <w14:solidFill>
              <w14:schemeClr w14:val="tx1"/>
            </w14:solidFill>
          </w14:textFill>
        </w:rPr>
        <w:t xml:space="preserve">：</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u w:val="single"/>
          <w:lang w:val="en-US" w:eastAsia="zh-CN"/>
          <w14:textFill>
            <w14:solidFill>
              <w14:schemeClr w14:val="tx1"/>
            </w14:solidFill>
          </w14:textFill>
        </w:rPr>
        <w:t xml:space="preserve">          </w:t>
      </w:r>
      <w:r/>
    </w:p>
    <w:p>
      <w:pPr>
        <w:spacing w:line="480" w:lineRule="auto"/>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pStyle w:val="841"/>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pStyle w:val="841"/>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720" w:lineRule="exact"/>
        <w:rPr>
          <w:rFonts w:hint="default" w:ascii="Times New Roman" w:hAnsi="Times New Roman" w:eastAsia="仿宋" w:cs="Times New Roman"/>
          <w:b/>
          <w:color w:val="000000" w:themeColor="text1"/>
          <w:sz w:val="28"/>
          <w:szCs w:val="28"/>
          <w:highlight w:val="none"/>
          <w14:textFill>
            <w14:solidFill>
              <w14:schemeClr w14:val="tx1"/>
            </w14:solidFill>
          </w14:textFill>
        </w:rPr>
      </w:pPr>
      <w:r>
        <w:rPr>
          <w:rFonts w:hint="default" w:ascii="Times New Roman" w:hAnsi="Times New Roman" w:eastAsia="仿宋" w:cs="Times New Roman"/>
          <w:b/>
          <w:color w:val="000000" w:themeColor="text1"/>
          <w:sz w:val="28"/>
          <w:szCs w:val="28"/>
          <w:highlight w:val="none"/>
          <w14:textFill>
            <w14:solidFill>
              <w14:schemeClr w14:val="tx1"/>
            </w14:solidFill>
          </w14:textFill>
        </w:rPr>
        <w:t xml:space="preserve">南京市市场监督管理局</w:t>
      </w:r>
      <w:r/>
    </w:p>
    <w:p>
      <w:pPr>
        <w:jc w:val="center"/>
        <w:spacing w:line="720" w:lineRule="exact"/>
        <w:rPr>
          <w:rFonts w:hint="default" w:ascii="Times New Roman" w:hAnsi="Times New Roman" w:eastAsia="仿宋" w:cs="Times New Roman"/>
          <w:b/>
          <w:color w:val="000000" w:themeColor="text1"/>
          <w:sz w:val="28"/>
          <w:szCs w:val="28"/>
          <w:highlight w:val="none"/>
          <w14:textFill>
            <w14:solidFill>
              <w14:schemeClr w14:val="tx1"/>
            </w14:solidFill>
          </w14:textFill>
        </w:rPr>
      </w:pPr>
      <w:r>
        <w:rPr>
          <w:rFonts w:hint="default" w:ascii="Times New Roman" w:hAnsi="Times New Roman" w:eastAsia="仿宋" w:cs="Times New Roman"/>
          <w:b/>
          <w:color w:val="000000" w:themeColor="text1"/>
          <w:sz w:val="28"/>
          <w:szCs w:val="28"/>
          <w:highlight w:val="none"/>
          <w14:textFill>
            <w14:solidFill>
              <w14:schemeClr w14:val="tx1"/>
            </w14:solidFill>
          </w14:textFill>
        </w:rPr>
        <w:t xml:space="preserve">   南 京 市 财 政 局  监制</w:t>
      </w:r>
      <w:r/>
    </w:p>
    <w:p>
      <w:pPr>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r/>
    </w:p>
    <w:tbl>
      <w:tblPr>
        <w:tblStyle w:val="793"/>
        <w:tblW w:w="0" w:type="auto"/>
        <w:tblInd w:w="4" w:type="dxa"/>
        <w:tblLayout w:type="fixed"/>
        <w:tblCellMar>
          <w:left w:w="0" w:type="dxa"/>
          <w:top w:w="0" w:type="dxa"/>
          <w:right w:w="0" w:type="dxa"/>
          <w:bottom w:w="0" w:type="dxa"/>
        </w:tblCellMar>
        <w:tblLook w:val="04A0" w:firstRow="1" w:lastRow="0" w:firstColumn="1" w:lastColumn="0" w:noHBand="0" w:noVBand="1"/>
      </w:tblPr>
      <w:tblGrid>
        <w:gridCol w:w="4531"/>
        <w:gridCol w:w="3854"/>
      </w:tblGrid>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bookmarkStart w:id="154" w:name="_bookmark5"/>
            <w:r/>
            <w:bookmarkEnd w:id="154"/>
            <w:r>
              <w:rPr>
                <w:rFonts w:hint="default" w:ascii="Times New Roman" w:hAnsi="Times New Roman" w:eastAsia="仿宋" w:cs="Times New Roman"/>
                <w:color w:val="000000" w:themeColor="text1"/>
                <w:sz w:val="24"/>
                <w:highlight w:val="none"/>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住所地：</w:t>
            </w:r>
            <w:r/>
          </w:p>
        </w:tc>
      </w:tr>
    </w:tbl>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根据《中华人民共和国政府采购法》《中华人民共和国民法典》《中华人民共和国食品安全法》及其他有关法律法规的规定，甲乙双方本着公正、诚信、互惠互利的原则，就产品供货的有关事宜达成如下协议：</w:t>
      </w:r>
      <w:r/>
    </w:p>
    <w:p>
      <w:pPr>
        <w:numPr>
          <w:ilvl w:val="0"/>
          <w:numId w:val="9"/>
        </w:numPr>
        <w:ind w:firstLine="482"/>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合同期限：</w:t>
      </w:r>
      <w:r>
        <w:rPr>
          <w:rFonts w:hint="default" w:ascii="Times New Roman" w:hAnsi="Times New Roman" w:eastAsia="仿宋" w:cs="Times New Roman"/>
          <w:color w:val="000000" w:themeColor="text1"/>
          <w:sz w:val="24"/>
          <w:highlight w:val="none"/>
          <w14:textFill>
            <w14:solidFill>
              <w14:schemeClr w14:val="tx1"/>
            </w14:solidFill>
          </w14:textFill>
        </w:rPr>
        <w:t xml:space="preserve">自</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年</w:t>
      </w:r>
      <w:r>
        <w:rPr>
          <w:rFonts w:hint="default" w:ascii="Times New Roman" w:hAnsi="Times New Roman" w:eastAsia="仿宋" w:cs="Times New Roman"/>
          <w:bCs/>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月</w:t>
      </w:r>
      <w:r>
        <w:rPr>
          <w:rFonts w:hint="default" w:ascii="Times New Roman" w:hAnsi="Times New Roman" w:eastAsia="仿宋" w:cs="Times New Roman"/>
          <w:bCs/>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日起至</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年</w:t>
      </w:r>
      <w:r>
        <w:rPr>
          <w:rFonts w:hint="default" w:ascii="Times New Roman" w:hAnsi="Times New Roman" w:eastAsia="仿宋" w:cs="Times New Roman"/>
          <w:bCs/>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月</w:t>
      </w:r>
      <w:r>
        <w:rPr>
          <w:rFonts w:hint="default" w:ascii="Times New Roman" w:hAnsi="Times New Roman" w:eastAsia="仿宋" w:cs="Times New Roman"/>
          <w:bCs/>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日</w:t>
      </w:r>
      <w:r>
        <w:rPr>
          <w:rFonts w:hint="default" w:ascii="Times New Roman" w:hAnsi="Times New Roman" w:eastAsia="仿宋" w:cs="Times New Roman"/>
          <w:color w:val="000000" w:themeColor="text1"/>
          <w:sz w:val="24"/>
          <w:highlight w:val="none"/>
          <w14:textFill>
            <w14:solidFill>
              <w14:schemeClr w14:val="tx1"/>
            </w14:solidFill>
          </w14:textFill>
        </w:rPr>
        <w:t xml:space="preserve">止。</w:t>
      </w:r>
      <w:r/>
    </w:p>
    <w:p>
      <w:pPr>
        <w:pStyle w:val="794"/>
        <w:ind w:left="0"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二、本合同文件及优先解释顺序如下：</w:t>
      </w:r>
      <w:r/>
    </w:p>
    <w:p>
      <w:pPr>
        <w:pStyle w:val="794"/>
        <w:ind w:left="0" w:firstLine="480"/>
        <w:rPr>
          <w:rFonts w:eastAsia="仿宋"/>
          <w:bCs/>
          <w:color w:val="000000" w:themeColor="text1"/>
          <w:sz w:val="24"/>
          <w:highlight w:val="none"/>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1.</w:t>
      </w:r>
      <w:r>
        <w:rPr>
          <w:rFonts w:eastAsia="仿宋"/>
          <w:bCs/>
          <w:color w:val="000000" w:themeColor="text1"/>
          <w:sz w:val="24"/>
          <w:highlight w:val="none"/>
          <w14:textFill>
            <w14:solidFill>
              <w14:schemeClr w14:val="tx1"/>
            </w14:solidFill>
          </w14:textFill>
        </w:rPr>
        <w:t xml:space="preserve">本合同协议书</w:t>
      </w:r>
      <w:r/>
    </w:p>
    <w:p>
      <w:pPr>
        <w:pStyle w:val="794"/>
        <w:ind w:left="0" w:firstLine="480"/>
        <w:rPr>
          <w:rFonts w:hint="default" w:eastAsia="仿宋"/>
          <w:bCs/>
          <w:color w:val="000000" w:themeColor="text1"/>
          <w:sz w:val="24"/>
          <w:highlight w:val="none"/>
          <w:lang w:val="en-US" w:eastAsia="zh-CN"/>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2</w:t>
      </w:r>
      <w:r>
        <w:rPr>
          <w:rFonts w:eastAsia="仿宋"/>
          <w:bCs/>
          <w:color w:val="000000" w:themeColor="text1"/>
          <w:sz w:val="24"/>
          <w:highlight w:val="none"/>
          <w14:textFill>
            <w14:solidFill>
              <w14:schemeClr w14:val="tx1"/>
            </w14:solidFill>
          </w14:textFill>
        </w:rPr>
        <w:t xml:space="preserve">.</w:t>
      </w:r>
      <w:r>
        <w:rPr>
          <w:rFonts w:hint="eastAsia" w:eastAsia="仿宋"/>
          <w:bCs/>
          <w:color w:val="000000" w:themeColor="text1"/>
          <w:sz w:val="24"/>
          <w:highlight w:val="none"/>
          <w:lang w:val="en-US" w:eastAsia="zh-CN"/>
          <w14:textFill>
            <w14:solidFill>
              <w14:schemeClr w14:val="tx1"/>
            </w14:solidFill>
          </w14:textFill>
        </w:rPr>
        <w:t xml:space="preserve">招标文件</w:t>
      </w:r>
      <w:r/>
    </w:p>
    <w:p>
      <w:pPr>
        <w:pStyle w:val="794"/>
        <w:ind w:left="0" w:firstLine="480"/>
        <w:rPr>
          <w:rFonts w:eastAsia="仿宋"/>
          <w:bCs/>
          <w:color w:val="000000" w:themeColor="text1"/>
          <w:sz w:val="24"/>
          <w:highlight w:val="none"/>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3</w:t>
      </w:r>
      <w:r>
        <w:rPr>
          <w:rFonts w:eastAsia="仿宋"/>
          <w:bCs/>
          <w:color w:val="000000" w:themeColor="text1"/>
          <w:sz w:val="24"/>
          <w:highlight w:val="none"/>
          <w14:textFill>
            <w14:solidFill>
              <w14:schemeClr w14:val="tx1"/>
            </w14:solidFill>
          </w14:textFill>
        </w:rPr>
        <w:t xml:space="preserve">.中标通知书</w:t>
      </w:r>
      <w:r/>
    </w:p>
    <w:p>
      <w:pPr>
        <w:pStyle w:val="794"/>
        <w:ind w:left="0" w:firstLine="480"/>
        <w:rPr>
          <w:rFonts w:eastAsia="仿宋"/>
          <w:bCs/>
          <w:color w:val="000000" w:themeColor="text1"/>
          <w:sz w:val="24"/>
          <w:highlight w:val="none"/>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4</w:t>
      </w:r>
      <w:r>
        <w:rPr>
          <w:rFonts w:eastAsia="仿宋"/>
          <w:bCs/>
          <w:color w:val="000000" w:themeColor="text1"/>
          <w:sz w:val="24"/>
          <w:highlight w:val="none"/>
          <w14:textFill>
            <w14:solidFill>
              <w14:schemeClr w14:val="tx1"/>
            </w14:solidFill>
          </w14:textFill>
        </w:rPr>
        <w:t xml:space="preserve">.投标</w:t>
      </w:r>
      <w:r>
        <w:rPr>
          <w:rFonts w:hint="eastAsia" w:eastAsia="仿宋"/>
          <w:bCs/>
          <w:color w:val="000000" w:themeColor="text1"/>
          <w:sz w:val="24"/>
          <w:highlight w:val="none"/>
          <w14:textFill>
            <w14:solidFill>
              <w14:schemeClr w14:val="tx1"/>
            </w14:solidFill>
          </w14:textFill>
        </w:rPr>
        <w:t xml:space="preserve">文件</w:t>
      </w:r>
      <w:r>
        <w:rPr>
          <w:rFonts w:eastAsia="仿宋"/>
          <w:bCs/>
          <w:color w:val="000000" w:themeColor="text1"/>
          <w:sz w:val="24"/>
          <w:highlight w:val="none"/>
          <w14:textFill>
            <w14:solidFill>
              <w14:schemeClr w14:val="tx1"/>
            </w14:solidFill>
          </w14:textFill>
        </w:rPr>
        <w:t xml:space="preserve">及其附件</w:t>
      </w:r>
      <w:r/>
    </w:p>
    <w:p>
      <w:pPr>
        <w:pStyle w:val="794"/>
        <w:ind w:left="0" w:firstLine="480"/>
        <w:rPr>
          <w:rFonts w:eastAsia="仿宋"/>
          <w:bCs/>
          <w:color w:val="000000" w:themeColor="text1"/>
          <w:sz w:val="24"/>
          <w:highlight w:val="none"/>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5</w:t>
      </w:r>
      <w:r>
        <w:rPr>
          <w:rFonts w:eastAsia="仿宋"/>
          <w:bCs/>
          <w:color w:val="000000" w:themeColor="text1"/>
          <w:sz w:val="24"/>
          <w:highlight w:val="none"/>
          <w14:textFill>
            <w14:solidFill>
              <w14:schemeClr w14:val="tx1"/>
            </w14:solidFill>
          </w14:textFill>
        </w:rPr>
        <w:t xml:space="preserve">.标准、规范及有关技术文件</w:t>
      </w:r>
      <w:r/>
    </w:p>
    <w:p>
      <w:pPr>
        <w:pStyle w:val="794"/>
        <w:ind w:left="0" w:firstLine="480"/>
        <w:rPr>
          <w:rFonts w:eastAsia="仿宋"/>
          <w:bCs/>
          <w:color w:val="000000" w:themeColor="text1"/>
          <w:sz w:val="24"/>
          <w:highlight w:val="none"/>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6</w:t>
      </w:r>
      <w:r>
        <w:rPr>
          <w:rFonts w:eastAsia="仿宋"/>
          <w:bCs/>
          <w:color w:val="000000" w:themeColor="text1"/>
          <w:sz w:val="24"/>
          <w:highlight w:val="none"/>
          <w14:textFill>
            <w14:solidFill>
              <w14:schemeClr w14:val="tx1"/>
            </w14:solidFill>
          </w14:textFill>
        </w:rPr>
        <w:t xml:space="preserve">.采购清单</w:t>
      </w:r>
      <w:r/>
    </w:p>
    <w:p>
      <w:pPr>
        <w:ind w:firstLine="482"/>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三、产品名称及规格要求</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1.乙方根据甲方要求供应</w:t>
      </w:r>
      <w:r>
        <w:rPr>
          <w:rFonts w:hint="default" w:ascii="Times New Roman" w:hAnsi="Times New Roman" w:eastAsia="仿宋" w:cs="Times New Roman"/>
          <w:bCs/>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，所供产品必须净含量达标、新鲜、安全，符合</w:t>
      </w:r>
      <w:r>
        <w:rPr>
          <w:rFonts w:hint="default" w:ascii="Times New Roman" w:hAnsi="Times New Roman" w:eastAsia="仿宋" w:cs="Times New Roman"/>
          <w:color w:val="000000" w:themeColor="text1"/>
          <w:sz w:val="24"/>
          <w:highlight w:val="none"/>
          <w14:textFill>
            <w14:solidFill>
              <w14:schemeClr w14:val="tx1"/>
            </w14:solidFill>
          </w14:textFill>
        </w:rPr>
        <w:t xml:space="preserve">国家标准或行业标准。并按甲方要求提供包括但不限于农残报告、检测报告、合格证、检疫证明在内的各类产品质量证明文件。</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乙方送货产品品名、规格、价格以甲方订单为准，如不符合合同约定的质量要求，或甲方在使用过程中发现质量问题，乙方应无条件接受甲方降价、减重、退货处理，并及时提供质量合格的相同品种食材，确保甲方正常计划使用需求。</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w:t>
      </w:r>
      <w:r>
        <w:rPr>
          <w:rFonts w:eastAsia="仿宋"/>
          <w:color w:val="000000" w:themeColor="text1"/>
          <w:sz w:val="24"/>
          <w:highlight w:val="none"/>
          <w14:textFill>
            <w14:solidFill>
              <w14:schemeClr w14:val="tx1"/>
            </w14:solidFill>
          </w14:textFill>
        </w:rPr>
        <w:t xml:space="preserve">如乙方所供</w:t>
      </w:r>
      <w:r>
        <w:rPr>
          <w:rFonts w:hint="eastAsia" w:eastAsia="仿宋"/>
          <w:color w:val="000000" w:themeColor="text1"/>
          <w:sz w:val="24"/>
          <w:highlight w:val="none"/>
          <w14:textFill>
            <w14:solidFill>
              <w14:schemeClr w14:val="tx1"/>
            </w14:solidFill>
          </w14:textFill>
        </w:rPr>
        <w:t xml:space="preserve">食材</w:t>
      </w:r>
      <w:r>
        <w:rPr>
          <w:rFonts w:eastAsia="仿宋"/>
          <w:color w:val="000000" w:themeColor="text1"/>
          <w:sz w:val="24"/>
          <w:highlight w:val="none"/>
          <w14:textFill>
            <w14:solidFill>
              <w14:schemeClr w14:val="tx1"/>
            </w14:solidFill>
          </w14:textFill>
        </w:rPr>
        <w:t xml:space="preserve">有质量问题，乙方未能及时采取补救措施，甲方有权</w:t>
      </w:r>
      <w:r>
        <w:rPr>
          <w:rFonts w:hint="eastAsia" w:eastAsia="仿宋"/>
          <w:color w:val="000000" w:themeColor="text1"/>
          <w:sz w:val="24"/>
          <w:highlight w:val="none"/>
          <w:lang w:val="en-US" w:eastAsia="zh-CN"/>
          <w14:textFill>
            <w14:solidFill>
              <w14:schemeClr w14:val="tx1"/>
            </w14:solidFill>
          </w14:textFill>
        </w:rPr>
        <w:t xml:space="preserve">拒付相应款项，并</w:t>
      </w:r>
      <w:r>
        <w:rPr>
          <w:rFonts w:eastAsia="仿宋"/>
          <w:color w:val="000000" w:themeColor="text1"/>
          <w:sz w:val="24"/>
          <w:highlight w:val="none"/>
          <w14:textFill>
            <w14:solidFill>
              <w14:schemeClr w14:val="tx1"/>
            </w14:solidFill>
          </w14:textFill>
        </w:rPr>
        <w:t xml:space="preserve">要求乙方承担</w:t>
      </w:r>
      <w:r>
        <w:rPr>
          <w:rFonts w:hint="eastAsia" w:eastAsia="仿宋"/>
          <w:color w:val="000000" w:themeColor="text1"/>
          <w:sz w:val="24"/>
          <w:highlight w:val="none"/>
          <w:lang w:val="en-US" w:eastAsia="zh-CN"/>
          <w14:textFill>
            <w14:solidFill>
              <w14:schemeClr w14:val="tx1"/>
            </w14:solidFill>
          </w14:textFill>
        </w:rPr>
        <w:t xml:space="preserve">不超过</w:t>
      </w:r>
      <w:r>
        <w:rPr>
          <w:rFonts w:hint="eastAsia" w:eastAsia="仿宋"/>
          <w:color w:val="000000" w:themeColor="text1"/>
          <w:sz w:val="24"/>
          <w:highlight w:val="none"/>
          <w:u w:val="single"/>
          <w:lang w:val="en-US" w:eastAsia="zh-CN"/>
          <w14:textFill>
            <w14:solidFill>
              <w14:schemeClr w14:val="tx1"/>
            </w14:solidFill>
          </w14:textFill>
        </w:rPr>
        <w:t xml:space="preserve">5000</w:t>
      </w:r>
      <w:r>
        <w:rPr>
          <w:rFonts w:hint="eastAsia" w:eastAsia="仿宋"/>
          <w:color w:val="000000" w:themeColor="text1"/>
          <w:sz w:val="24"/>
          <w:highlight w:val="none"/>
          <w:lang w:val="en-US" w:eastAsia="zh-CN"/>
          <w14:textFill>
            <w14:solidFill>
              <w14:schemeClr w14:val="tx1"/>
            </w14:solidFill>
          </w14:textFill>
        </w:rPr>
        <w:t xml:space="preserve">元/次的违约责任和</w:t>
      </w:r>
      <w:r>
        <w:rPr>
          <w:rFonts w:eastAsia="仿宋"/>
          <w:color w:val="000000" w:themeColor="text1"/>
          <w:sz w:val="24"/>
          <w:highlight w:val="none"/>
          <w14:textFill>
            <w14:solidFill>
              <w14:schemeClr w14:val="tx1"/>
            </w14:solidFill>
          </w14:textFill>
        </w:rPr>
        <w:t xml:space="preserve">给甲方造成的一切损失。</w:t>
      </w:r>
      <w:r/>
    </w:p>
    <w:p>
      <w:pPr>
        <w:ind w:firstLine="482"/>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四、送货、验收及付款</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送货：合同期内乙方根据甲方的订单需求向甲方提供产品。在甲方规定的时间内由乙方负责运送至甲方食堂指定地点（雨花南路2号和竹影路5号），并按要求加工（包含但不限于分拣、加工、清洗等）完毕并摆放整齐，运输费、上下人力等费用由乙方自理。</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2.验收：乙方必须根据甲方要求供应产品，不得以任何借口违背甲方订单要求，或在未经甲方允许的情况下私自改变所定品种规格、数量等。</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3.付款方式：所供食材经甲方工作人员验收、使用确认无质量问题后，双方按月结算，乙方提交等额正式发票，甲方于次月付清食材费用。若发票户名、开户行、账号与供货单位不一致，甲方可拒付。付款流程详见招标文件。</w:t>
      </w:r>
      <w:r/>
    </w:p>
    <w:p>
      <w:pPr>
        <w:ind w:firstLine="482"/>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五、合同双方权利与义务</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1.甲方有义务配合乙方对所到食材进行收货、外观验货。</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2.甲方有义务按合同约定及时付清货款。</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3.甲方根据合同约定对乙方的违约行为，有权提出终止合同。</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4.乙方有义务提供企业的相关资质证明，企业法人营业执照、食品经营许可证、法人代表的身份证及送货人员健康证明等资料</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复印件给甲方。</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5.乙方有义务提供：符合质量要求；符合《中华人民共和国食品安全法》等相关法律要求的食品、食材。</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6.乙方有义务按指定的时间、地点和要求送货。</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7.乙方有义务主动配合甲方对食材进行验收。</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8.乙方有义务服从甲方的日常管理，包含但不限于配送人员按规定着装、保持配送车辆内外部干净整洁、不随意出入甲方食品加工场地、在甲方处加工完毕后及时清理场地等。</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9.甲方无故未按时付清食材费用，或无故拖欠食材费用，经乙方书面催告后仍未付款，乙方有权终止合同，并保留索赔的权利。</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10.年度具体采购金额甲方不对乙方做出承诺，仅根据实际发生情况进行结算。</w:t>
      </w:r>
      <w:r/>
    </w:p>
    <w:p>
      <w:pPr>
        <w:ind w:firstLine="482"/>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六、违约责任</w:t>
      </w:r>
      <w:r/>
    </w:p>
    <w:p>
      <w:pPr>
        <w:ind w:firstLine="480"/>
        <w:spacing w:line="360" w:lineRule="auto"/>
        <w:rPr>
          <w:rFonts w:eastAsia="仿宋"/>
          <w:b/>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w:t>
      </w:r>
      <w:r>
        <w:rPr>
          <w:rFonts w:hint="eastAsia" w:eastAsia="仿宋"/>
          <w:bCs/>
          <w:color w:val="000000" w:themeColor="text1"/>
          <w:sz w:val="24"/>
          <w:highlight w:val="none"/>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乙方在接到送货通知后必须将</w:t>
      </w:r>
      <w:r>
        <w:rPr>
          <w:rFonts w:hint="eastAsia" w:eastAsia="仿宋"/>
          <w:bCs/>
          <w:color w:val="000000" w:themeColor="text1"/>
          <w:sz w:val="24"/>
          <w:highlight w:val="none"/>
          <w14:textFill>
            <w14:solidFill>
              <w14:schemeClr w14:val="tx1"/>
            </w14:solidFill>
          </w14:textFill>
        </w:rPr>
        <w:t xml:space="preserve">食材</w:t>
      </w:r>
      <w:r>
        <w:rPr>
          <w:rFonts w:eastAsia="仿宋"/>
          <w:bCs/>
          <w:color w:val="000000" w:themeColor="text1"/>
          <w:sz w:val="24"/>
          <w:highlight w:val="none"/>
          <w14:textFill>
            <w14:solidFill>
              <w14:schemeClr w14:val="tx1"/>
            </w14:solidFill>
          </w14:textFill>
        </w:rPr>
        <w:t xml:space="preserve">按时送达甲方指定地点，乙方未按时送货、补货或停止供货</w:t>
      </w:r>
      <w:r>
        <w:rPr>
          <w:rFonts w:eastAsia="仿宋"/>
          <w:color w:val="000000" w:themeColor="text1"/>
          <w:sz w:val="24"/>
          <w:highlight w:val="none"/>
          <w14:textFill>
            <w14:solidFill>
              <w14:schemeClr w14:val="tx1"/>
            </w14:solidFill>
          </w14:textFill>
        </w:rPr>
        <w:t xml:space="preserve">（不可抗力的自然灾害除外）</w:t>
      </w:r>
      <w:r>
        <w:rPr>
          <w:rFonts w:eastAsia="仿宋"/>
          <w:bCs/>
          <w:color w:val="000000" w:themeColor="text1"/>
          <w:sz w:val="24"/>
          <w:highlight w:val="none"/>
          <w14:textFill>
            <w14:solidFill>
              <w14:schemeClr w14:val="tx1"/>
            </w14:solidFill>
          </w14:textFill>
        </w:rPr>
        <w:t xml:space="preserve">，</w:t>
      </w:r>
      <w:r>
        <w:rPr>
          <w:rFonts w:hint="eastAsia" w:eastAsia="仿宋"/>
          <w:bCs/>
          <w:color w:val="000000" w:themeColor="text1"/>
          <w:sz w:val="24"/>
          <w:highlight w:val="none"/>
          <w:lang w:val="en-US" w:eastAsia="zh-CN"/>
          <w14:textFill>
            <w14:solidFill>
              <w14:schemeClr w14:val="tx1"/>
            </w14:solidFill>
          </w14:textFill>
        </w:rPr>
        <w:t xml:space="preserve">甲方应扣除相应食材价款（</w:t>
      </w:r>
      <w:r>
        <w:rPr>
          <w:rFonts w:eastAsia="仿宋"/>
          <w:bCs/>
          <w:color w:val="000000" w:themeColor="text1"/>
          <w:sz w:val="24"/>
          <w:highlight w:val="none"/>
          <w14:textFill>
            <w14:solidFill>
              <w14:schemeClr w14:val="tx1"/>
            </w14:solidFill>
          </w14:textFill>
        </w:rPr>
        <w:t xml:space="preserve">当次</w:t>
      </w:r>
      <w:r>
        <w:rPr>
          <w:rFonts w:hint="eastAsia" w:eastAsia="仿宋"/>
          <w:bCs/>
          <w:color w:val="000000" w:themeColor="text1"/>
          <w:sz w:val="24"/>
          <w:highlight w:val="none"/>
          <w:lang w:val="en-US" w:eastAsia="zh-CN"/>
          <w14:textFill>
            <w14:solidFill>
              <w14:schemeClr w14:val="tx1"/>
            </w14:solidFill>
          </w14:textFill>
        </w:rPr>
        <w:t xml:space="preserve">或当月</w:t>
      </w:r>
      <w:r>
        <w:rPr>
          <w:rFonts w:eastAsia="仿宋"/>
          <w:bCs/>
          <w:color w:val="000000" w:themeColor="text1"/>
          <w:sz w:val="24"/>
          <w:highlight w:val="none"/>
          <w14:textFill>
            <w14:solidFill>
              <w14:schemeClr w14:val="tx1"/>
            </w14:solidFill>
          </w14:textFill>
        </w:rPr>
        <w:t xml:space="preserve">应送</w:t>
      </w:r>
      <w:r>
        <w:rPr>
          <w:rFonts w:hint="eastAsia" w:eastAsia="仿宋"/>
          <w:bCs/>
          <w:color w:val="000000" w:themeColor="text1"/>
          <w:sz w:val="24"/>
          <w:highlight w:val="none"/>
          <w14:textFill>
            <w14:solidFill>
              <w14:schemeClr w14:val="tx1"/>
            </w14:solidFill>
          </w14:textFill>
        </w:rPr>
        <w:t xml:space="preserve">食材</w:t>
      </w:r>
      <w:r>
        <w:rPr>
          <w:rFonts w:eastAsia="仿宋"/>
          <w:bCs/>
          <w:color w:val="000000" w:themeColor="text1"/>
          <w:sz w:val="24"/>
          <w:highlight w:val="none"/>
          <w14:textFill>
            <w14:solidFill>
              <w14:schemeClr w14:val="tx1"/>
            </w14:solidFill>
          </w14:textFill>
        </w:rPr>
        <w:t xml:space="preserve">价款的30%</w:t>
      </w:r>
      <w:r>
        <w:rPr>
          <w:rFonts w:hint="eastAsia" w:eastAsia="仿宋"/>
          <w:bCs/>
          <w:color w:val="000000" w:themeColor="text1"/>
          <w:sz w:val="24"/>
          <w:highlight w:val="none"/>
          <w:lang w:val="en-US" w:eastAsia="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w:t>
      </w:r>
      <w:r>
        <w:rPr>
          <w:rFonts w:hint="eastAsia" w:eastAsia="仿宋"/>
          <w:color w:val="000000" w:themeColor="text1"/>
          <w:sz w:val="24"/>
          <w:highlight w:val="none"/>
          <w14:textFill>
            <w14:solidFill>
              <w14:schemeClr w14:val="tx1"/>
            </w14:solidFill>
          </w14:textFill>
        </w:rPr>
        <w:t xml:space="preserve">以上事件月超过三次的甲方有权视情况采取约谈、暂停供货一个月、暂停供货一个季度，直至解除本合同。并按应结算食材价款的</w:t>
      </w:r>
      <w:r>
        <w:rPr>
          <w:rFonts w:eastAsia="仿宋"/>
          <w:bCs/>
          <w:color w:val="000000" w:themeColor="text1"/>
          <w:sz w:val="24"/>
          <w:highlight w:val="none"/>
          <w14:textFill>
            <w14:solidFill>
              <w14:schemeClr w14:val="tx1"/>
            </w14:solidFill>
          </w14:textFill>
        </w:rPr>
        <w:t xml:space="preserve">70%向乙方支付。</w:t>
      </w:r>
      <w:r/>
    </w:p>
    <w:p>
      <w:pPr>
        <w:ind w:firstLine="480"/>
        <w:spacing w:line="360" w:lineRule="auto"/>
        <w:rPr>
          <w:rFonts w:hint="eastAsia" w:eastAsia="仿宋"/>
          <w:b/>
          <w:bCs/>
          <w:color w:val="000000" w:themeColor="text1"/>
          <w:sz w:val="24"/>
          <w:highlight w:val="none"/>
          <w:lang w:eastAsia="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2</w:t>
      </w:r>
      <w:r>
        <w:rPr>
          <w:rFonts w:hint="eastAsia" w:eastAsia="仿宋"/>
          <w:bCs/>
          <w:color w:val="000000" w:themeColor="text1"/>
          <w:sz w:val="24"/>
          <w:highlight w:val="none"/>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乙方所供产品</w:t>
      </w:r>
      <w:r>
        <w:rPr>
          <w:rFonts w:eastAsia="仿宋"/>
          <w:color w:val="000000" w:themeColor="text1"/>
          <w:sz w:val="24"/>
          <w:highlight w:val="none"/>
          <w14:textFill>
            <w14:solidFill>
              <w14:schemeClr w14:val="tx1"/>
            </w14:solidFill>
          </w14:textFill>
        </w:rPr>
        <w:t xml:space="preserve">如违反</w:t>
      </w:r>
      <w:r>
        <w:rPr>
          <w:rFonts w:hint="eastAsia" w:eastAsia="仿宋"/>
          <w:color w:val="000000" w:themeColor="text1"/>
          <w:sz w:val="24"/>
          <w:highlight w:val="none"/>
          <w14:textFill>
            <w14:solidFill>
              <w14:schemeClr w14:val="tx1"/>
            </w14:solidFill>
          </w14:textFill>
        </w:rPr>
        <w:t xml:space="preserve">《中华人民共和国食品安全法》</w:t>
      </w:r>
      <w:r>
        <w:rPr>
          <w:rFonts w:eastAsia="仿宋"/>
          <w:color w:val="000000" w:themeColor="text1"/>
          <w:sz w:val="24"/>
          <w:highlight w:val="none"/>
          <w14:textFill>
            <w14:solidFill>
              <w14:schemeClr w14:val="tx1"/>
            </w14:solidFill>
          </w14:textFill>
        </w:rPr>
        <w:t xml:space="preserve">，有质量不合格问题（除本合同第二条第一项的约定外，产品变质、包装破损、超过保质期、送货不及时、送货车辆不洁、送货人员着装不整洁等均属质量不合格），并造成甲方用餐人员不良反应并就医，乙方负有全额赔偿责任。出现一次上述情况，甲方有权提前解除本合同，</w:t>
      </w:r>
      <w:r>
        <w:rPr>
          <w:rFonts w:eastAsia="仿宋"/>
          <w:bCs/>
          <w:color w:val="000000" w:themeColor="text1"/>
          <w:sz w:val="24"/>
          <w:highlight w:val="none"/>
          <w14:textFill>
            <w14:solidFill>
              <w14:schemeClr w14:val="tx1"/>
            </w14:solidFill>
          </w14:textFill>
        </w:rPr>
        <w:t xml:space="preserve">并按应结算</w:t>
      </w:r>
      <w:r>
        <w:rPr>
          <w:rFonts w:hint="eastAsia" w:eastAsia="仿宋"/>
          <w:bCs/>
          <w:color w:val="000000" w:themeColor="text1"/>
          <w:sz w:val="24"/>
          <w:highlight w:val="none"/>
          <w14:textFill>
            <w14:solidFill>
              <w14:schemeClr w14:val="tx1"/>
            </w14:solidFill>
          </w14:textFill>
        </w:rPr>
        <w:t xml:space="preserve">食材</w:t>
      </w:r>
      <w:r>
        <w:rPr>
          <w:rFonts w:eastAsia="仿宋"/>
          <w:color w:val="000000" w:themeColor="text1"/>
          <w:sz w:val="24"/>
          <w:highlight w:val="none"/>
          <w14:textFill>
            <w14:solidFill>
              <w14:schemeClr w14:val="tx1"/>
            </w14:solidFill>
          </w14:textFill>
        </w:rPr>
        <w:t xml:space="preserve">价款</w:t>
      </w:r>
      <w:r>
        <w:rPr>
          <w:rFonts w:eastAsia="仿宋"/>
          <w:bCs/>
          <w:color w:val="000000" w:themeColor="text1"/>
          <w:sz w:val="24"/>
          <w:highlight w:val="none"/>
          <w14:textFill>
            <w14:solidFill>
              <w14:schemeClr w14:val="tx1"/>
            </w14:solidFill>
          </w14:textFill>
        </w:rPr>
        <w:t xml:space="preserve">的70%向乙方支付</w:t>
      </w:r>
      <w:r>
        <w:rPr>
          <w:rFonts w:hint="eastAsia" w:eastAsia="仿宋"/>
          <w:bCs/>
          <w:color w:val="000000" w:themeColor="text1"/>
          <w:sz w:val="24"/>
          <w:highlight w:val="none"/>
          <w:lang w:eastAsia="zh-CN"/>
          <w14:textFill>
            <w14:solidFill>
              <w14:schemeClr w14:val="tx1"/>
            </w14:solidFill>
          </w14:textFill>
        </w:rPr>
        <w:t xml:space="preserve">。</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w:t>
      </w:r>
      <w:r>
        <w:rPr>
          <w:rFonts w:hint="eastAsia" w:eastAsia="仿宋"/>
          <w:color w:val="000000" w:themeColor="text1"/>
          <w:sz w:val="24"/>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乙方不服从甲方的日常管理规定且经甲方警告后仍不改正的，</w:t>
      </w:r>
      <w:r>
        <w:rPr>
          <w:rFonts w:hint="eastAsia" w:eastAsia="仿宋"/>
          <w:bCs/>
          <w:color w:val="000000" w:themeColor="text1"/>
          <w:sz w:val="24"/>
          <w:highlight w:val="none"/>
          <w:lang w:val="en-US" w:eastAsia="zh-CN"/>
          <w14:textFill>
            <w14:solidFill>
              <w14:schemeClr w14:val="tx1"/>
            </w14:solidFill>
          </w14:textFill>
        </w:rPr>
        <w:t xml:space="preserve">甲方应扣除相应食材价款（</w:t>
      </w:r>
      <w:r>
        <w:rPr>
          <w:rFonts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当</w:t>
      </w:r>
      <w:r>
        <w:rPr>
          <w:rFonts w:hint="eastAsia"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次</w:t>
      </w:r>
      <w:r>
        <w:rPr>
          <w:rFonts w:eastAsia="仿宋"/>
          <w:bCs/>
          <w:color w:val="000000" w:themeColor="text1"/>
          <w:sz w:val="24"/>
          <w:highlight w:val="none"/>
          <w14:textFill>
            <w14:solidFill>
              <w14:schemeClr w14:val="tx1"/>
            </w14:solidFill>
          </w14:textFill>
        </w:rPr>
        <w:t xml:space="preserve">应</w:t>
      </w:r>
      <w:r>
        <w:rPr>
          <w:rFonts w:hint="eastAsia" w:eastAsia="仿宋"/>
          <w:bCs/>
          <w:color w:val="000000" w:themeColor="text1"/>
          <w:sz w:val="24"/>
          <w:highlight w:val="none"/>
          <w:lang w:val="en-US" w:eastAsia="zh-CN"/>
          <w14:textFill>
            <w14:solidFill>
              <w14:schemeClr w14:val="tx1"/>
            </w14:solidFill>
          </w14:textFill>
        </w:rPr>
        <w:t xml:space="preserve">结算</w:t>
      </w:r>
      <w:r>
        <w:rPr>
          <w:rFonts w:hint="eastAsia" w:eastAsia="仿宋"/>
          <w:bCs/>
          <w:color w:val="000000" w:themeColor="text1"/>
          <w:sz w:val="24"/>
          <w:highlight w:val="none"/>
          <w14:textFill>
            <w14:solidFill>
              <w14:schemeClr w14:val="tx1"/>
            </w14:solidFill>
          </w14:textFill>
        </w:rPr>
        <w:t xml:space="preserve">食材</w:t>
      </w:r>
      <w:r>
        <w:rPr>
          <w:rFonts w:eastAsia="仿宋"/>
          <w:bCs/>
          <w:color w:val="000000" w:themeColor="text1"/>
          <w:sz w:val="24"/>
          <w:highlight w:val="none"/>
          <w14:textFill>
            <w14:solidFill>
              <w14:schemeClr w14:val="tx1"/>
            </w14:solidFill>
          </w14:textFill>
        </w:rPr>
        <w:t xml:space="preserve">价款的30%</w:t>
      </w:r>
      <w:r>
        <w:rPr>
          <w:rFonts w:hint="eastAsia" w:eastAsia="仿宋"/>
          <w:bCs/>
          <w:color w:val="000000" w:themeColor="text1"/>
          <w:sz w:val="24"/>
          <w:highlight w:val="none"/>
          <w:lang w:val="en-US" w:eastAsia="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处罚后仍未改正的，甲方有权解除合同，</w:t>
      </w:r>
      <w:r>
        <w:rPr>
          <w:rFonts w:eastAsia="仿宋"/>
          <w:bCs/>
          <w:color w:val="000000" w:themeColor="text1"/>
          <w:sz w:val="24"/>
          <w:highlight w:val="none"/>
          <w14:textFill>
            <w14:solidFill>
              <w14:schemeClr w14:val="tx1"/>
            </w14:solidFill>
          </w14:textFill>
        </w:rPr>
        <w:t xml:space="preserve">并按应结算</w:t>
      </w:r>
      <w:r>
        <w:rPr>
          <w:rFonts w:hint="eastAsia" w:eastAsia="仿宋"/>
          <w:bCs/>
          <w:color w:val="000000" w:themeColor="text1"/>
          <w:sz w:val="24"/>
          <w:highlight w:val="none"/>
          <w14:textFill>
            <w14:solidFill>
              <w14:schemeClr w14:val="tx1"/>
            </w14:solidFill>
          </w14:textFill>
        </w:rPr>
        <w:t xml:space="preserve">食材</w:t>
      </w:r>
      <w:r>
        <w:rPr>
          <w:rFonts w:eastAsia="仿宋"/>
          <w:color w:val="000000" w:themeColor="text1"/>
          <w:sz w:val="24"/>
          <w:highlight w:val="none"/>
          <w14:textFill>
            <w14:solidFill>
              <w14:schemeClr w14:val="tx1"/>
            </w14:solidFill>
          </w14:textFill>
        </w:rPr>
        <w:t xml:space="preserve">价款</w:t>
      </w:r>
      <w:r>
        <w:rPr>
          <w:rFonts w:eastAsia="仿宋"/>
          <w:bCs/>
          <w:color w:val="000000" w:themeColor="text1"/>
          <w:sz w:val="24"/>
          <w:highlight w:val="none"/>
          <w14:textFill>
            <w14:solidFill>
              <w14:schemeClr w14:val="tx1"/>
            </w14:solidFill>
          </w14:textFill>
        </w:rPr>
        <w:t xml:space="preserve">的70%向乙方支付。</w:t>
      </w:r>
      <w:r/>
    </w:p>
    <w:p>
      <w:pPr>
        <w:pStyle w:val="794"/>
        <w:ind w:left="0" w:firstLine="480"/>
        <w:spacing w:after="0"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4</w:t>
      </w:r>
      <w:r>
        <w:rPr>
          <w:rFonts w:hint="eastAsia" w:eastAsia="仿宋"/>
          <w:bCs/>
          <w:color w:val="000000" w:themeColor="text1"/>
          <w:sz w:val="24"/>
          <w:highlight w:val="none"/>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乙方供应的食材故意串规、定量包装批量误差超过相关规定，一经查实，均按当月食材供应额的3倍值作为支付甲方的违约金。</w:t>
      </w:r>
      <w:r/>
    </w:p>
    <w:p>
      <w:pPr>
        <w:pStyle w:val="794"/>
        <w:ind w:left="0" w:firstLine="480"/>
        <w:spacing w:after="0"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5</w:t>
      </w:r>
      <w:r>
        <w:rPr>
          <w:rFonts w:hint="eastAsia" w:eastAsia="仿宋"/>
          <w:bCs/>
          <w:color w:val="000000" w:themeColor="text1"/>
          <w:sz w:val="24"/>
          <w:highlight w:val="none"/>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甲方将定期或不定期地组织专人对乙方所供食材的质量报送质检部门抽检，若发现食材质量检测结果与招标文件或投标文件或与国家规定的质量标准不符，</w:t>
      </w:r>
      <w:r>
        <w:rPr>
          <w:rFonts w:hint="eastAsia" w:eastAsia="仿宋"/>
          <w:bCs/>
          <w:color w:val="000000" w:themeColor="text1"/>
          <w:sz w:val="24"/>
          <w:highlight w:val="none"/>
          <w:lang w:val="en-US" w:eastAsia="zh-CN"/>
          <w14:textFill>
            <w14:solidFill>
              <w14:schemeClr w14:val="tx1"/>
            </w14:solidFill>
          </w14:textFill>
        </w:rPr>
        <w:t xml:space="preserve">甲方应扣除相应食材价款（</w:t>
      </w:r>
      <w:r>
        <w:rPr>
          <w:rFonts w:eastAsia="仿宋"/>
          <w:bCs/>
          <w:color w:val="000000" w:themeColor="text1"/>
          <w:sz w:val="24"/>
          <w:highlight w:val="none"/>
          <w14:textFill>
            <w14:solidFill>
              <w14:schemeClr w14:val="tx1"/>
            </w14:solidFill>
          </w14:textFill>
        </w:rPr>
        <w:t xml:space="preserve">当</w:t>
      </w:r>
      <w:r>
        <w:rPr>
          <w:rFonts w:hint="eastAsia" w:eastAsia="仿宋"/>
          <w:bCs/>
          <w:color w:val="000000" w:themeColor="text1"/>
          <w:sz w:val="24"/>
          <w:highlight w:val="none"/>
          <w:lang w:val="en-US" w:eastAsia="zh-CN"/>
          <w14:textFill>
            <w14:solidFill>
              <w14:schemeClr w14:val="tx1"/>
            </w14:solidFill>
          </w14:textFill>
        </w:rPr>
        <w:t xml:space="preserve">月</w:t>
      </w:r>
      <w:r>
        <w:rPr>
          <w:rFonts w:eastAsia="仿宋"/>
          <w:bCs/>
          <w:color w:val="000000" w:themeColor="text1"/>
          <w:sz w:val="24"/>
          <w:highlight w:val="none"/>
          <w14:textFill>
            <w14:solidFill>
              <w14:schemeClr w14:val="tx1"/>
            </w14:solidFill>
          </w14:textFill>
        </w:rPr>
        <w:t xml:space="preserve">应</w:t>
      </w:r>
      <w:r>
        <w:rPr>
          <w:rFonts w:hint="eastAsia" w:eastAsia="仿宋"/>
          <w:bCs/>
          <w:color w:val="000000" w:themeColor="text1"/>
          <w:sz w:val="24"/>
          <w:highlight w:val="none"/>
          <w:lang w:val="en-US" w:eastAsia="zh-CN"/>
          <w14:textFill>
            <w14:solidFill>
              <w14:schemeClr w14:val="tx1"/>
            </w14:solidFill>
          </w14:textFill>
        </w:rPr>
        <w:t xml:space="preserve">送</w:t>
      </w:r>
      <w:r>
        <w:rPr>
          <w:rFonts w:hint="eastAsia" w:eastAsia="仿宋"/>
          <w:bCs/>
          <w:color w:val="000000" w:themeColor="text1"/>
          <w:sz w:val="24"/>
          <w:highlight w:val="none"/>
          <w14:textFill>
            <w14:solidFill>
              <w14:schemeClr w14:val="tx1"/>
            </w14:solidFill>
          </w14:textFill>
        </w:rPr>
        <w:t xml:space="preserve">食材</w:t>
      </w:r>
      <w:r>
        <w:rPr>
          <w:rFonts w:eastAsia="仿宋"/>
          <w:bCs/>
          <w:color w:val="000000" w:themeColor="text1"/>
          <w:sz w:val="24"/>
          <w:highlight w:val="none"/>
          <w14:textFill>
            <w14:solidFill>
              <w14:schemeClr w14:val="tx1"/>
            </w14:solidFill>
          </w14:textFill>
        </w:rPr>
        <w:t xml:space="preserve">价款的30%</w:t>
      </w:r>
      <w:r>
        <w:rPr>
          <w:rFonts w:hint="eastAsia" w:eastAsia="仿宋"/>
          <w:bCs/>
          <w:color w:val="000000" w:themeColor="text1"/>
          <w:sz w:val="24"/>
          <w:highlight w:val="none"/>
          <w:lang w:val="en-US" w:eastAsia="zh-CN"/>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6</w:t>
      </w:r>
      <w:r>
        <w:rPr>
          <w:rFonts w:hint="eastAsia" w:eastAsia="仿宋"/>
          <w:bCs/>
          <w:color w:val="000000" w:themeColor="text1"/>
          <w:sz w:val="24"/>
          <w:highlight w:val="none"/>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如乙方在项目实施期间出现违背投标时的承诺，或经营异常，或丧失商业信誉，或产品被曝光不合格或被政府部门取缔相关生产经营资格的情况，甲方有权直接解除合同，并按应结算</w:t>
      </w:r>
      <w:r>
        <w:rPr>
          <w:rFonts w:hint="eastAsia" w:eastAsia="仿宋"/>
          <w:bCs/>
          <w:color w:val="000000" w:themeColor="text1"/>
          <w:sz w:val="24"/>
          <w:highlight w:val="none"/>
          <w14:textFill>
            <w14:solidFill>
              <w14:schemeClr w14:val="tx1"/>
            </w14:solidFill>
          </w14:textFill>
        </w:rPr>
        <w:t xml:space="preserve">食材</w:t>
      </w:r>
      <w:r>
        <w:rPr>
          <w:rFonts w:eastAsia="仿宋"/>
          <w:color w:val="000000" w:themeColor="text1"/>
          <w:sz w:val="24"/>
          <w:highlight w:val="none"/>
          <w14:textFill>
            <w14:solidFill>
              <w14:schemeClr w14:val="tx1"/>
            </w14:solidFill>
          </w14:textFill>
        </w:rPr>
        <w:t xml:space="preserve">价款</w:t>
      </w:r>
      <w:r>
        <w:rPr>
          <w:rFonts w:eastAsia="仿宋"/>
          <w:bCs/>
          <w:color w:val="000000" w:themeColor="text1"/>
          <w:sz w:val="24"/>
          <w:highlight w:val="none"/>
          <w14:textFill>
            <w14:solidFill>
              <w14:schemeClr w14:val="tx1"/>
            </w14:solidFill>
          </w14:textFill>
        </w:rPr>
        <w:t xml:space="preserve">的70%向乙方支付。</w:t>
      </w:r>
      <w:r/>
    </w:p>
    <w:p>
      <w:pPr>
        <w:ind w:firstLine="482"/>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七、定价方式</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1.乙方的中标优惠率为</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%，各水产类食材的价格统一按各水产类食材基础价格结合（1-中标优惠率）确定下月采购价格，在价格调整间隔期间，不再另行调价。</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各水产类食材基础价格：甲方每月以南京市发展和改革委员会官网公示的定价月最后一次“农贸市场主副食品价格行情表”中的平均价为基础，如官网最后一次未公布的则依顺序前推；如南京市发展和改革委员会官网未有的；以</w:t>
      </w:r>
      <w:r>
        <w:rPr>
          <w:rFonts w:hint="eastAsia" w:eastAsia="仿宋" w:cs="Times New Roman"/>
          <w:color w:val="000000" w:themeColor="text1"/>
          <w:sz w:val="24"/>
          <w:highlight w:val="none"/>
          <w:lang w:val="en-US" w:eastAsia="zh-CN"/>
          <w14:textFill>
            <w14:solidFill>
              <w14:schemeClr w14:val="tx1"/>
            </w14:solidFill>
          </w14:textFill>
        </w:rPr>
        <w:t xml:space="preserve">甲方</w:t>
      </w:r>
      <w:r>
        <w:rPr>
          <w:rFonts w:hint="default" w:ascii="Times New Roman" w:hAnsi="Times New Roman" w:eastAsia="仿宋" w:cs="Times New Roman"/>
          <w:color w:val="000000" w:themeColor="text1"/>
          <w:sz w:val="24"/>
          <w:highlight w:val="none"/>
          <w14:textFill>
            <w14:solidFill>
              <w14:schemeClr w14:val="tx1"/>
            </w14:solidFill>
          </w14:textFill>
        </w:rPr>
        <w:t xml:space="preserve">调研附近大型农贸市场（能仁里农贸市场）价格为基础。</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合同执行期内，甲乙双方均不得随意变更或解除合同，擅自解除合同的一方需按应结算食材价款的30%向对方支付违约金。本供应合同期满后，双方需重新拟定合同并办理相关手续。双方合作关系正式终止前，本合同继续生效。本合同服务期限暂定为一年，</w:t>
      </w:r>
      <w:r>
        <w:rPr>
          <w:rFonts w:eastAsia="仿宋"/>
          <w:color w:val="000000" w:themeColor="text1"/>
          <w:sz w:val="24"/>
          <w:highlight w:val="none"/>
          <w14:textFill>
            <w14:solidFill>
              <w14:schemeClr w14:val="tx1"/>
            </w14:solidFill>
          </w14:textFill>
        </w:rPr>
        <w:t xml:space="preserve">第二年及第三年合同需通过考核后签订（</w:t>
      </w:r>
      <w:r>
        <w:rPr>
          <w:rFonts w:hint="eastAsia" w:eastAsia="仿宋"/>
          <w:color w:val="000000" w:themeColor="text1"/>
          <w:sz w:val="24"/>
          <w:highlight w:val="none"/>
          <w:lang w:val="en-US" w:eastAsia="zh-CN"/>
          <w14:textFill>
            <w14:solidFill>
              <w14:schemeClr w14:val="tx1"/>
            </w14:solidFill>
          </w14:textFill>
        </w:rPr>
        <w:t xml:space="preserve">通过</w:t>
      </w:r>
      <w:r>
        <w:rPr>
          <w:rFonts w:eastAsia="仿宋"/>
          <w:color w:val="000000" w:themeColor="text1"/>
          <w:sz w:val="24"/>
          <w:highlight w:val="none"/>
          <w14:textFill>
            <w14:solidFill>
              <w14:schemeClr w14:val="tx1"/>
            </w14:solidFill>
          </w14:textFill>
        </w:rPr>
        <w:t xml:space="preserve">考核</w:t>
      </w:r>
      <w:r>
        <w:rPr>
          <w:rFonts w:hint="eastAsia" w:eastAsia="仿宋"/>
          <w:color w:val="000000" w:themeColor="text1"/>
          <w:sz w:val="24"/>
          <w:highlight w:val="none"/>
          <w:lang w:val="en-US" w:eastAsia="zh-CN"/>
          <w14:textFill>
            <w14:solidFill>
              <w14:schemeClr w14:val="tx1"/>
            </w14:solidFill>
          </w14:textFill>
        </w:rPr>
        <w:t xml:space="preserve">的</w:t>
      </w:r>
      <w:r>
        <w:rPr>
          <w:rFonts w:eastAsia="仿宋"/>
          <w:color w:val="000000" w:themeColor="text1"/>
          <w:sz w:val="24"/>
          <w:highlight w:val="none"/>
          <w14:textFill>
            <w14:solidFill>
              <w14:schemeClr w14:val="tx1"/>
            </w14:solidFill>
          </w14:textFill>
        </w:rPr>
        <w:t xml:space="preserve">标准为</w:t>
      </w:r>
      <w:r>
        <w:rPr>
          <w:rFonts w:hint="eastAsia" w:eastAsia="仿宋"/>
          <w:color w:val="000000" w:themeColor="text1"/>
          <w:sz w:val="24"/>
          <w:highlight w:val="none"/>
          <w:lang w:val="en-US" w:eastAsia="zh-CN"/>
          <w14:textFill>
            <w14:solidFill>
              <w14:schemeClr w14:val="tx1"/>
            </w14:solidFill>
          </w14:textFill>
        </w:rPr>
        <w:t xml:space="preserve">当年度月平均考核评分80分及以上）</w:t>
      </w:r>
      <w:r>
        <w:rPr>
          <w:rFonts w:hint="default" w:ascii="Times New Roman" w:hAnsi="Times New Roman" w:eastAsia="仿宋" w:cs="Times New Roman"/>
          <w:color w:val="000000" w:themeColor="text1"/>
          <w:sz w:val="24"/>
          <w:highlight w:val="none"/>
          <w14:textFill>
            <w14:solidFill>
              <w14:schemeClr w14:val="tx1"/>
            </w14:solidFill>
          </w14:textFill>
        </w:rPr>
        <w:t xml:space="preserve">。乙方若在履行合同期间出现违反法律、行政法规、地方性法规、有关食品行业管理的标准规定、采购文件及双方合同的约定或发生食品安全事故、人身伤亡事故和经济纠纷等影响社会和谐稳定事件的，甲方有权提前终止合同，</w:t>
      </w:r>
      <w:r>
        <w:rPr>
          <w:rFonts w:eastAsia="仿宋"/>
          <w:bCs/>
          <w:color w:val="000000" w:themeColor="text1"/>
          <w:sz w:val="24"/>
          <w:highlight w:val="none"/>
          <w14:textFill>
            <w14:solidFill>
              <w14:schemeClr w14:val="tx1"/>
            </w14:solidFill>
          </w14:textFill>
        </w:rPr>
        <w:t xml:space="preserve">并按应结算</w:t>
      </w:r>
      <w:r>
        <w:rPr>
          <w:rFonts w:hint="eastAsia" w:eastAsia="仿宋"/>
          <w:bCs/>
          <w:color w:val="000000" w:themeColor="text1"/>
          <w:sz w:val="24"/>
          <w:highlight w:val="none"/>
          <w14:textFill>
            <w14:solidFill>
              <w14:schemeClr w14:val="tx1"/>
            </w14:solidFill>
          </w14:textFill>
        </w:rPr>
        <w:t xml:space="preserve">食材</w:t>
      </w:r>
      <w:r>
        <w:rPr>
          <w:rFonts w:eastAsia="仿宋"/>
          <w:color w:val="000000" w:themeColor="text1"/>
          <w:sz w:val="24"/>
          <w:highlight w:val="none"/>
          <w14:textFill>
            <w14:solidFill>
              <w14:schemeClr w14:val="tx1"/>
            </w14:solidFill>
          </w14:textFill>
        </w:rPr>
        <w:t xml:space="preserve">价款</w:t>
      </w:r>
      <w:r>
        <w:rPr>
          <w:rFonts w:eastAsia="仿宋"/>
          <w:bCs/>
          <w:color w:val="000000" w:themeColor="text1"/>
          <w:sz w:val="24"/>
          <w:highlight w:val="none"/>
          <w14:textFill>
            <w14:solidFill>
              <w14:schemeClr w14:val="tx1"/>
            </w14:solidFill>
          </w14:textFill>
        </w:rPr>
        <w:t xml:space="preserve">的70%向乙方支付</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八、本合同执行过程中发生纠纷，由甲乙双方协商解决，协商不成，任何一方均有权向甲方所在地人民法院起诉。</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九、本合同一式四份，甲、乙双方各执两份，自甲乙双方签字盖章之日起生效。</w:t>
      </w:r>
      <w:r/>
    </w:p>
    <w:p>
      <w:pPr>
        <w:pStyle w:val="841"/>
        <w:ind w:firstLine="0"/>
        <w:keepLines w:val="0"/>
        <w:keepNext w:val="0"/>
        <w:pageBreakBefore w:val="0"/>
        <w:spacing w:line="360" w:lineRule="auto"/>
        <w:widowControl w:val="off"/>
        <w:rPr>
          <w:rFonts w:hint="eastAsia" w:eastAsia="仿宋"/>
          <w:b/>
          <w:color w:val="000000" w:themeColor="text1"/>
          <w:sz w:val="24"/>
          <w:highlight w:val="none"/>
          <w:lang w:val="en-US" w:eastAsia="zh-CN"/>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附件：1.《食堂食材配送服务考核办法》</w:t>
      </w:r>
      <w:r/>
    </w:p>
    <w:p>
      <w:pPr>
        <w:pStyle w:val="841"/>
        <w:numPr>
          <w:ilvl w:val="0"/>
          <w:numId w:val="10"/>
        </w:numPr>
        <w:ind w:firstLine="723"/>
        <w:keepLines w:val="0"/>
        <w:keepNext w:val="0"/>
        <w:pageBreakBefore w:val="0"/>
        <w:spacing w:line="360" w:lineRule="auto"/>
        <w:widowControl w:val="off"/>
        <w:rPr>
          <w:rFonts w:hint="eastAsia" w:eastAsia="仿宋"/>
          <w:b/>
          <w:color w:val="000000" w:themeColor="text1"/>
          <w:sz w:val="24"/>
          <w:highlight w:val="none"/>
          <w:lang w:val="en-US" w:eastAsia="zh-CN"/>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食品安全承诺书</w:t>
      </w:r>
      <w:r/>
    </w:p>
    <w:p>
      <w:pPr>
        <w:pStyle w:val="841"/>
        <w:numPr>
          <w:ilvl w:val="0"/>
          <w:numId w:val="10"/>
        </w:numPr>
        <w:ind w:left="0" w:firstLine="723"/>
        <w:rPr>
          <w:rFonts w:hint="default" w:eastAsia="仿宋"/>
          <w:b/>
          <w:color w:val="000000" w:themeColor="text1"/>
          <w:sz w:val="24"/>
          <w:highlight w:val="none"/>
          <w:lang w:val="en-US" w:eastAsia="zh-CN"/>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廉洁承诺书</w:t>
      </w:r>
      <w:r/>
    </w:p>
    <w:p>
      <w:pPr>
        <w:pStyle w:val="841"/>
        <w:ind w:firstLine="490"/>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p>
      <w:pPr>
        <w:rPr>
          <w:rFonts w:hint="default" w:ascii="Times New Roman" w:hAnsi="Times New Roman" w:cs="Times New Roman" w:eastAsiaTheme="minorEastAsia"/>
          <w:color w:val="000000" w:themeColor="text1"/>
          <w:highlight w:val="none"/>
          <w14:textFill>
            <w14:solidFill>
              <w14:schemeClr w14:val="tx1"/>
            </w14:solidFill>
          </w14:textFill>
        </w:rPr>
      </w:pPr>
      <w:r>
        <w:rPr>
          <w:rFonts w:hint="default" w:ascii="Times New Roman" w:hAnsi="Times New Roman" w:cs="Times New Roman" w:eastAsiaTheme="minorEastAsia"/>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甲方：南京市雨花台区机关事务管理服务中心        乙方：</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地址：南京市雨花台区雨花南路2号                地址：        </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法定代表人：                                    法定代表人：</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或                                              或</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委托代理人：                                    委托代理人：</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签订日期：   年   月   日       </w:t>
      </w:r>
      <w:r>
        <w:rPr>
          <w:rFonts w:hint="default" w:ascii="Times New Roman" w:hAnsi="Times New Roman" w:eastAsia="仿宋" w:cs="Times New Roman"/>
          <w:bCs/>
          <w:color w:val="000000" w:themeColor="text1"/>
          <w:sz w:val="24"/>
          <w:highlight w:val="none"/>
          <w14:textFill>
            <w14:solidFill>
              <w14:schemeClr w14:val="tx1"/>
            </w14:solidFill>
          </w14:textFill>
        </w:rPr>
        <w:tab/>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             签订日期： 年  月  日</w:t>
      </w:r>
      <w:r/>
    </w:p>
    <w:p>
      <w:pPr>
        <w:pStyle w:val="843"/>
        <w:rPr>
          <w:rFonts w:hint="default" w:ascii="Times New Roman" w:hAnsi="Times New Roman" w:eastAsia="仿宋" w:cs="Times New Roman"/>
          <w:bCs/>
          <w:color w:val="000000" w:themeColor="text1"/>
          <w:highlight w:val="none"/>
          <w14:textFill>
            <w14:solidFill>
              <w14:schemeClr w14:val="tx1"/>
            </w14:solidFill>
          </w14:textFill>
        </w:rPr>
      </w:pPr>
      <w:r>
        <w:rPr>
          <w:rFonts w:hint="default" w:ascii="Times New Roman" w:hAnsi="Times New Roman" w:eastAsia="仿宋" w:cs="Times New Roman"/>
          <w:bCs/>
          <w:color w:val="000000" w:themeColor="text1"/>
          <w:highlight w:val="none"/>
          <w14:textFill>
            <w14:solidFill>
              <w14:schemeClr w14:val="tx1"/>
            </w14:solidFill>
          </w14:textFill>
        </w:rPr>
      </w:r>
      <w:r/>
    </w:p>
    <w:p>
      <w:pPr>
        <w:pStyle w:val="843"/>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r>
      <w:r/>
    </w:p>
    <w:p>
      <w:pP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br w:type="page" w:clear="all"/>
      </w:r>
      <w:r/>
    </w:p>
    <w:p>
      <w:pPr>
        <w:jc w:val="center"/>
        <w:spacing w:before="120" w:after="120" w:line="400"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附件：1.</w:t>
      </w:r>
      <w:r>
        <w:rPr>
          <w:rFonts w:hint="default" w:ascii="仿宋" w:hAnsi="仿宋" w:eastAsia="仿宋" w:cs="仿宋"/>
          <w:b/>
          <w:bCs/>
          <w:color w:val="000000" w:themeColor="text1"/>
          <w:sz w:val="32"/>
          <w:szCs w:val="32"/>
          <w:highlight w:val="none"/>
          <w14:textFill>
            <w14:solidFill>
              <w14:schemeClr w14:val="tx1"/>
            </w14:solidFill>
          </w14:textFill>
        </w:rPr>
        <w:t xml:space="preserve">《食堂食材配送服务考核办法》</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spacing w:after="120" w:line="400"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供应商名称： </w:t>
      </w:r>
      <w:r/>
    </w:p>
    <w:p>
      <w:pPr>
        <w:ind w:firstLine="480"/>
        <w:jc w:val="right"/>
        <w:spacing w:after="120" w:line="400"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年  月  日</w:t>
      </w:r>
      <w:r/>
    </w:p>
    <w:tbl>
      <w:tblPr>
        <w:tblStyle w:val="793"/>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3"/>
        <w:gridCol w:w="6804"/>
        <w:gridCol w:w="1559"/>
      </w:tblGrid>
      <w:tr>
        <w:trPr>
          <w:jc w:val="center"/>
          <w:trHeight w:val="476"/>
        </w:trPr>
        <w:tc>
          <w:tcPr>
            <w:tcW w:w="1493"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类别</w:t>
            </w:r>
            <w:r/>
          </w:p>
        </w:tc>
        <w:tc>
          <w:tcPr>
            <w:tcW w:w="6804"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lang w:val="en-US" w:eastAsia="zh-CN"/>
                <w14:textFill>
                  <w14:solidFill>
                    <w14:schemeClr w14:val="tx1"/>
                  </w14:solidFill>
                </w14:textFill>
              </w:rPr>
              <w:t xml:space="preserve">水产</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类考核评分细则</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得分情况</w:t>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食材考核</w:t>
            </w:r>
            <w:r/>
          </w:p>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（40分）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食材是否新鲜并在保质期内（10分）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食材是否包装完整、标识齐全（10分）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冷冻食材是否全程冷链保证（10分）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食材应附的检验检疫合格证明以及农药残留检测证明等是否齐全（10分）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服务考核</w:t>
            </w:r>
            <w:r/>
          </w:p>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（40分）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采购单位发现食材不符合供货标准提出整改意见，是否及时更换处理（10分）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食材配送是否及时，每逾期一次扣10分；月超过3次未按时送货、补货或擅自停止供货的，暂停供货一个季度直至解除本合同（20分）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采购单位临时加单，供应商响应迅速无推诿的（10分）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价格考核</w:t>
            </w:r>
            <w:r/>
          </w:p>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供应商产品价格报价是否及时与合理（10分）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供应商货款结算金额核对、开票是否及时（10分）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总 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bl>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注：1.本表适用于管理范围之内的食堂食材采购配送。</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每月作为一个考核周期，满分为100分。当月考核得分在80分及以上为合格；合格按当月结算食材价款的100%支付，当月考核79分及以下为不合格，不合格的按当月结算食材价款的98%支付；当月考核不合格的供应商甲方有权视情况采取约谈、停止供货一周、停止供货一个月等措施，连续三个月考核不合格的，甲方有权解除本合同，停止供货的月份，由甲方指定的另一家供货商供应。</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3.关于临近保质期产品的验收甲方将严格按照南京市市场监督管理部门相关</w:t>
      </w:r>
      <w:r>
        <w:rPr>
          <w:rFonts w:hint="eastAsia" w:eastAsia="仿宋" w:cs="Times New Roman"/>
          <w:color w:val="000000" w:themeColor="text1"/>
          <w:sz w:val="24"/>
          <w:highlight w:val="none"/>
          <w:lang w:eastAsia="zh-CN"/>
          <w14:textFill>
            <w14:solidFill>
              <w14:schemeClr w14:val="tx1"/>
            </w14:solidFill>
          </w14:textFill>
        </w:rPr>
        <w:t xml:space="preserve">规定</w:t>
      </w:r>
      <w:r>
        <w:rPr>
          <w:rFonts w:hint="default" w:ascii="Times New Roman" w:hAnsi="Times New Roman" w:eastAsia="仿宋" w:cs="Times New Roman"/>
          <w:color w:val="000000" w:themeColor="text1"/>
          <w:sz w:val="24"/>
          <w:highlight w:val="none"/>
          <w14:textFill>
            <w14:solidFill>
              <w14:schemeClr w14:val="tx1"/>
            </w14:solidFill>
          </w14:textFill>
        </w:rPr>
        <w:t xml:space="preserve">执行。</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4.本表一式三份，供货单位存档一份，采购单位科室一份，采购管理部门一份。</w:t>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r/>
    </w:p>
    <w:p>
      <w:pPr>
        <w:jc w:val="center"/>
        <w:spacing w:line="360" w:lineRule="auto"/>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附件：2.</w:t>
      </w:r>
      <w:r>
        <w:rPr>
          <w:rFonts w:hint="eastAsia" w:ascii="仿宋" w:hAnsi="仿宋" w:eastAsia="仿宋" w:cs="仿宋"/>
          <w:b/>
          <w:bCs/>
          <w:color w:val="000000" w:themeColor="text1"/>
          <w:sz w:val="32"/>
          <w:szCs w:val="32"/>
          <w:highlight w:val="none"/>
          <w14:textFill>
            <w14:solidFill>
              <w14:schemeClr w14:val="tx1"/>
            </w14:solidFill>
          </w14:textFill>
        </w:rPr>
        <w:t xml:space="preserve">食品安全</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承诺书</w:t>
      </w:r>
      <w:r/>
    </w:p>
    <w:p>
      <w:pPr>
        <w:spacing w:line="360" w:lineRule="auto"/>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南京市雨花台区机关事务管理服务中心</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为保障</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权益，严把食品质量安全关，本单位庄严承诺：</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1</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严格遵守《中华人民共和国食品安全法》《</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中华人民共和国食品安全法实施条例</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》等法律法规的规定，承担食品安全的第一职责，建立食品安全管理制度。</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2</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保证依法取得</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食品安全等相关</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许可证，并凭许可证办理工商登记，领取营业执照。</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3</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保证有与食品流通相适应的食品安全管理人员，从业人员取得健康证明后从事食品流通经营活动，每年进行健康检查。</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4</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保证建立并执行食品进货查验及记录制度，查验记录保存期限不少于</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两</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年。</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5</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保证依照法律法规和食品安全标准从事食品流通活动，保证食品安全，</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接受</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社会监督。</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6</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保证食品经营</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储存</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场所的</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环境</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、设备、设施、贴合与食品流通相适应的要求。</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7</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保证建立并执行定期查验及退市制度，及时清理变质、超过保存期及其他不</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符合</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食品安全标准的食品，做好记录。</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8</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主动向</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提供供货</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凭证，自觉履行不</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符合</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食品安全标准的食品更换、退货等义务。</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9</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保证食品资料的真实性，不包含虚假或者夸大的资料，不涉及疾病预防、治疗功能。</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10</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及时制定食品安全事故处置方案，定期检查本单位各项食品安全防范措施落实</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情况</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，及时消除食品安全事故隐患。</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如</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提供</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不</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符合</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食品安全标准的食品，承诺赔偿</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采购人的一切</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损失，并承担相应的</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法定职责</w:t>
      </w:r>
      <w:r/>
    </w:p>
    <w:p>
      <w:pPr>
        <w:pStyle w:val="82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以上承诺如有违反，自愿</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接受市场监督管理</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机关依照法律法规和</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给予的处罚。</w:t>
      </w:r>
      <w:r/>
    </w:p>
    <w:p>
      <w:pPr>
        <w:ind w:firstLine="46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highlight w:val="none"/>
          <w14:textFill>
            <w14:solidFill>
              <w14:schemeClr w14:val="tx1"/>
            </w14:solidFill>
          </w14:textFill>
        </w:rPr>
        <w:t xml:space="preserve">：（盖章）</w:t>
      </w:r>
      <w:r/>
    </w:p>
    <w:p>
      <w:pPr>
        <w:ind w:firstLine="46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法定代表人签名或盖章：</w:t>
      </w:r>
      <w:r/>
    </w:p>
    <w:p>
      <w:pPr>
        <w:pStyle w:val="827"/>
        <w:ind w:left="0" w:right="0" w:firstLine="440"/>
        <w:jc w:val="right"/>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000000" w:themeColor="text1"/>
          <w:spacing w:val="0"/>
          <w:sz w:val="22"/>
          <w:szCs w:val="22"/>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2"/>
          <w:szCs w:val="22"/>
          <w:highlight w:val="none"/>
          <w:shd w:val="clear" w:color="auto" w:fill="ffffff"/>
          <w14:textFill>
            <w14:solidFill>
              <w14:schemeClr w14:val="tx1"/>
            </w14:solidFill>
          </w14:textFill>
        </w:rPr>
        <w:t xml:space="preserve">日期：____年____月____日</w:t>
      </w:r>
      <w:r/>
    </w:p>
    <w:p>
      <w:pPr>
        <w:jc w:val="center"/>
        <w:spacing w:line="360" w:lineRule="auto"/>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附件：3.</w:t>
      </w:r>
      <w:r>
        <w:rPr>
          <w:rFonts w:hint="eastAsia" w:ascii="仿宋" w:hAnsi="仿宋" w:eastAsia="仿宋" w:cs="仿宋"/>
          <w:b/>
          <w:bCs/>
          <w:color w:val="000000" w:themeColor="text1"/>
          <w:sz w:val="32"/>
          <w:szCs w:val="32"/>
          <w:highlight w:val="none"/>
          <w14:textFill>
            <w14:solidFill>
              <w14:schemeClr w14:val="tx1"/>
            </w14:solidFill>
          </w14:textFill>
        </w:rPr>
        <w:t xml:space="preserve">廉洁承诺书</w:t>
      </w:r>
      <w:r/>
    </w:p>
    <w:p>
      <w:pP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南京市雨花台区机关事务管理服务中心</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为了积极配合本次</w:t>
      </w:r>
      <w:r>
        <w:rPr>
          <w:rFonts w:hint="eastAsia" w:ascii="仿宋" w:hAnsi="仿宋" w:eastAsia="仿宋" w:cs="仿宋"/>
          <w:color w:val="000000" w:themeColor="text1"/>
          <w:sz w:val="24"/>
          <w:highlight w:val="none"/>
          <w:u w:val="single"/>
          <w:lang w:eastAsia="zh-CN"/>
          <w14:textFill>
            <w14:solidFill>
              <w14:schemeClr w14:val="tx1"/>
            </w14:solidFill>
          </w14:textFill>
        </w:rPr>
        <w:tab/>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南京市雨花台区机关事务管理服务中心食材供应（水产）及配送服务项目</w:t>
      </w:r>
      <w:r>
        <w:rPr>
          <w:rFonts w:hint="eastAsia" w:ascii="仿宋" w:hAnsi="仿宋" w:eastAsia="仿宋" w:cs="仿宋"/>
          <w:color w:val="000000" w:themeColor="text1"/>
          <w:sz w:val="24"/>
          <w:highlight w:val="none"/>
          <w:u w:val="none"/>
          <w:lang w:val="en-US" w:eastAsia="zh-CN"/>
          <w14:textFill>
            <w14:solidFill>
              <w14:schemeClr w14:val="tx1"/>
            </w14:solidFill>
          </w14:textFill>
        </w:rPr>
        <w:t xml:space="preserve">采购</w:t>
      </w:r>
      <w:r>
        <w:rPr>
          <w:rFonts w:hint="eastAsia" w:ascii="仿宋" w:hAnsi="仿宋" w:eastAsia="仿宋" w:cs="仿宋"/>
          <w:color w:val="000000" w:themeColor="text1"/>
          <w:sz w:val="24"/>
          <w:highlight w:val="none"/>
          <w14:textFill>
            <w14:solidFill>
              <w14:schemeClr w14:val="tx1"/>
            </w14:solidFill>
          </w14:textFill>
        </w:rPr>
        <w:t xml:space="preserve">，有效遏制不公平竞争和违规违纪问题的发生，确保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highlight w:val="none"/>
          <w14:textFill>
            <w14:solidFill>
              <w14:schemeClr w14:val="tx1"/>
            </w14:solidFill>
          </w14:textFill>
        </w:rPr>
        <w:t xml:space="preserve">工作的公平、公正、公开，我</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单位</w:t>
      </w:r>
      <w:r>
        <w:rPr>
          <w:rFonts w:hint="eastAsia" w:ascii="仿宋" w:hAnsi="仿宋" w:eastAsia="仿宋" w:cs="仿宋"/>
          <w:color w:val="000000" w:themeColor="text1"/>
          <w:sz w:val="24"/>
          <w:highlight w:val="none"/>
          <w14:textFill>
            <w14:solidFill>
              <w14:schemeClr w14:val="tx1"/>
            </w14:solidFill>
          </w14:textFill>
        </w:rPr>
        <w:t xml:space="preserve">保证认真贯彻相关规定以及相关廉洁要求，特向贵单位承诺如下事项：</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一、自觉遵守国家法律法规及有关廉政建设制度。</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二、主动了解相关纪律，积极配合贵单位执行廉政建设的有关规定。</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三、不使用不正当手段妨碍、排挤或串通其他单位。</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四、按照</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highlight w:val="none"/>
          <w14:textFill>
            <w14:solidFill>
              <w14:schemeClr w14:val="tx1"/>
            </w14:solidFill>
          </w14:textFill>
        </w:rPr>
        <w:t xml:space="preserve">文件规定的方式进行，不隐瞒本公司资质的真实情况，资质符合规定。</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五、不以任何方式向相关人员赠送礼品、礼金及有价证券</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不宴请或邀请任何人参加高档娱乐消费、旅游、考察、参观等活动</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不以任何形式报销任何人以及亲友的各种票据及费用</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不进行可能影响公平、公正的任何活动。</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六、不向涉及单位及个人购置或提供通讯工具、交通工具和高档办公用品等。</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七、不向涉及单位及个人的配偶、子女、亲属分包此次</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highlight w:val="none"/>
          <w14:textFill>
            <w14:solidFill>
              <w14:schemeClr w14:val="tx1"/>
            </w14:solidFill>
          </w14:textFill>
        </w:rPr>
        <w:t xml:space="preserve">项目。</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八、不向涉及单位及个人支付好处费、介绍费。</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九、一旦发现相关人员在过程中有索要财物等不廉洁行为，坚决予以抵制，并及时向贵单位纪检监察室举报。我们若违反上述承诺</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自</w:t>
      </w:r>
      <w:r>
        <w:rPr>
          <w:rFonts w:hint="eastAsia" w:ascii="仿宋" w:hAnsi="仿宋" w:eastAsia="仿宋" w:cs="仿宋"/>
          <w:color w:val="000000" w:themeColor="text1"/>
          <w:sz w:val="24"/>
          <w:highlight w:val="none"/>
          <w14:textFill>
            <w14:solidFill>
              <w14:schemeClr w14:val="tx1"/>
            </w14:solidFill>
          </w14:textFill>
        </w:rPr>
        <w:t xml:space="preserve">愿接</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受</w:t>
      </w:r>
      <w:r>
        <w:rPr>
          <w:rFonts w:hint="eastAsia" w:ascii="仿宋" w:hAnsi="仿宋" w:eastAsia="仿宋" w:cs="仿宋"/>
          <w:color w:val="000000" w:themeColor="text1"/>
          <w:sz w:val="24"/>
          <w:highlight w:val="none"/>
          <w14:textFill>
            <w14:solidFill>
              <w14:schemeClr w14:val="tx1"/>
            </w14:solidFill>
          </w14:textFill>
        </w:rPr>
        <w:t xml:space="preserve">取消资格及其他任何形式的处理。</w:t>
      </w:r>
      <w:r/>
    </w:p>
    <w:p>
      <w:pPr>
        <w:ind w:firstLine="420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20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20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20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6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highlight w:val="none"/>
          <w14:textFill>
            <w14:solidFill>
              <w14:schemeClr w14:val="tx1"/>
            </w14:solidFill>
          </w14:textFill>
        </w:rPr>
        <w:t xml:space="preserve">：（盖章）</w:t>
      </w:r>
      <w:r/>
    </w:p>
    <w:p>
      <w:pPr>
        <w:ind w:firstLine="46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法定代表人签名或盖章：</w:t>
      </w:r>
      <w:r/>
    </w:p>
    <w:p>
      <w:pPr>
        <w:pStyle w:val="843"/>
        <w:jc w:val="right"/>
        <w:rPr>
          <w:rFonts w:hint="default" w:ascii="Times New Roman" w:hAnsi="Times New Roman" w:eastAsia="仿宋" w:cs="Times New Roman"/>
          <w:color w:val="000000" w:themeColor="text1"/>
          <w:highlight w:val="none"/>
          <w:lang w:val="zh-CN"/>
          <w14:textFill>
            <w14:solidFill>
              <w14:schemeClr w14:val="tx1"/>
            </w14:solidFill>
          </w14:textFill>
        </w:rPr>
      </w:pPr>
      <w:r>
        <w:rPr>
          <w:rFonts w:hint="eastAsia" w:ascii="仿宋" w:hAnsi="仿宋" w:eastAsia="仿宋" w:cs="仿宋"/>
          <w:i w:val="0"/>
          <w:iCs w:val="0"/>
          <w:caps w:val="0"/>
          <w:color w:val="000000" w:themeColor="text1"/>
          <w:spacing w:val="0"/>
          <w:sz w:val="22"/>
          <w:szCs w:val="22"/>
          <w:highlight w:val="none"/>
          <w:shd w:val="clear" w:color="auto" w:fill="ffffff"/>
          <w14:textFill>
            <w14:solidFill>
              <w14:schemeClr w14:val="tx1"/>
            </w14:solidFill>
          </w14:textFill>
        </w:rPr>
        <w:t xml:space="preserve">日期：____年____月____日</w:t>
      </w:r>
      <w:r/>
    </w:p>
    <w:p>
      <w:pPr>
        <w:pStyle w:val="843"/>
        <w:rPr>
          <w:rFonts w:hint="default" w:ascii="Times New Roman" w:hAnsi="Times New Roman" w:eastAsia="仿宋" w:cs="Times New Roman"/>
          <w:color w:val="000000" w:themeColor="text1"/>
          <w:highlight w:val="none"/>
          <w:lang w:val="zh-CN"/>
          <w14:textFill>
            <w14:solidFill>
              <w14:schemeClr w14:val="tx1"/>
            </w14:solidFill>
          </w14:textFill>
        </w:rPr>
      </w:pPr>
      <w:r>
        <w:rPr>
          <w:rFonts w:hint="default" w:ascii="Times New Roman" w:hAnsi="Times New Roman" w:eastAsia="仿宋" w:cs="Times New Roman"/>
          <w:color w:val="000000" w:themeColor="text1"/>
          <w:highlight w:val="none"/>
          <w:lang w:val="zh-CN"/>
          <w14:textFill>
            <w14:solidFill>
              <w14:schemeClr w14:val="tx1"/>
            </w14:solidFill>
          </w14:textFill>
        </w:rPr>
      </w:r>
      <w:r/>
    </w:p>
    <w:p>
      <w:pPr>
        <w:pStyle w:val="843"/>
        <w:rPr>
          <w:rFonts w:hint="default" w:ascii="Times New Roman" w:hAnsi="Times New Roman" w:eastAsia="仿宋" w:cs="Times New Roman"/>
          <w:color w:val="000000" w:themeColor="text1"/>
          <w:highlight w:val="none"/>
          <w:lang w:val="zh-CN"/>
          <w14:textFill>
            <w14:solidFill>
              <w14:schemeClr w14:val="tx1"/>
            </w14:solidFill>
          </w14:textFill>
        </w:rPr>
      </w:pPr>
      <w:r>
        <w:rPr>
          <w:rFonts w:hint="default" w:ascii="Times New Roman" w:hAnsi="Times New Roman" w:eastAsia="仿宋" w:cs="Times New Roman"/>
          <w:color w:val="000000" w:themeColor="text1"/>
          <w:highlight w:val="none"/>
          <w:lang w:val="zh-CN"/>
          <w14:textFill>
            <w14:solidFill>
              <w14:schemeClr w14:val="tx1"/>
            </w14:solidFill>
          </w14:textFill>
        </w:rPr>
      </w:r>
      <w:r/>
    </w:p>
    <w:p>
      <w:pPr>
        <w:pStyle w:val="843"/>
        <w:rPr>
          <w:rFonts w:hint="default" w:ascii="Times New Roman" w:hAnsi="Times New Roman" w:eastAsia="仿宋" w:cs="Times New Roman"/>
          <w:color w:val="000000" w:themeColor="text1"/>
          <w:highlight w:val="none"/>
          <w:lang w:val="zh-CN"/>
          <w14:textFill>
            <w14:solidFill>
              <w14:schemeClr w14:val="tx1"/>
            </w14:solidFill>
          </w14:textFill>
        </w:rPr>
      </w:pPr>
      <w:r>
        <w:rPr>
          <w:rFonts w:hint="default" w:ascii="Times New Roman" w:hAnsi="Times New Roman" w:eastAsia="仿宋" w:cs="Times New Roman"/>
          <w:color w:val="000000" w:themeColor="text1"/>
          <w:highlight w:val="none"/>
          <w:lang w:val="zh-CN"/>
          <w14:textFill>
            <w14:solidFill>
              <w14:schemeClr w14:val="tx1"/>
            </w14:solidFill>
          </w14:textFill>
        </w:rPr>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pStyle w:val="783"/>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bookmarkStart w:id="155" w:name="_Toc15886"/>
      <w:r/>
      <w:bookmarkStart w:id="156" w:name="_Toc22395"/>
      <w:r/>
      <w:bookmarkStart w:id="157" w:name="_Toc28285"/>
      <w:r>
        <w:rPr>
          <w:rFonts w:hint="default" w:ascii="Times New Roman" w:hAnsi="Times New Roman" w:eastAsia="仿宋" w:cs="Times New Roman"/>
          <w:color w:val="000000" w:themeColor="text1"/>
          <w:szCs w:val="32"/>
          <w:highlight w:val="none"/>
          <w14:textFill>
            <w14:solidFill>
              <w14:schemeClr w14:val="tx1"/>
            </w14:solidFill>
          </w14:textFill>
        </w:rPr>
        <w:t xml:space="preserve">投标文件格式及附件</w:t>
      </w:r>
      <w:bookmarkEnd w:id="155"/>
      <w:r/>
      <w:bookmarkEnd w:id="156"/>
      <w:r/>
      <w:bookmarkEnd w:id="157"/>
      <w:r/>
      <w:r/>
    </w:p>
    <w:p>
      <w:pPr>
        <w:pStyle w:val="841"/>
        <w:ind w:firstLine="0"/>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left"/>
        <w:spacing w:line="240" w:lineRule="atLeast"/>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line="440" w:lineRule="exact"/>
        <w:rPr>
          <w:rFonts w:hint="default" w:ascii="Times New Roman" w:hAnsi="Times New Roman" w:eastAsia="仿宋" w:cs="Times New Roman"/>
          <w:color w:val="000000" w:themeColor="text1"/>
          <w:sz w:val="20"/>
          <w:szCs w:val="20"/>
          <w:highlight w:val="none"/>
          <w14:textFill>
            <w14:solidFill>
              <w14:schemeClr w14:val="tx1"/>
            </w14:solidFill>
          </w14:textFill>
        </w:rPr>
      </w:pPr>
      <w:r>
        <w:rPr>
          <w:rFonts w:hint="default" w:ascii="Times New Roman" w:hAnsi="Times New Roman" w:eastAsia="仿宋" w:cs="Times New Roman"/>
          <w:color w:val="000000" w:themeColor="text1"/>
          <w:sz w:val="20"/>
          <w:szCs w:val="20"/>
          <w:highlight w:val="none"/>
          <w14:textFill>
            <w14:solidFill>
              <w14:schemeClr w14:val="tx1"/>
            </w14:solidFill>
          </w14:textFill>
        </w:rPr>
      </w:r>
      <w:r/>
    </w:p>
    <w:p>
      <w:pPr>
        <w:spacing w:line="440" w:lineRule="exact"/>
        <w:rPr>
          <w:rFonts w:hint="default" w:ascii="Times New Roman" w:hAnsi="Times New Roman" w:eastAsia="仿宋" w:cs="Times New Roman"/>
          <w:color w:val="000000" w:themeColor="text1"/>
          <w:sz w:val="20"/>
          <w:szCs w:val="20"/>
          <w:highlight w:val="none"/>
          <w14:textFill>
            <w14:solidFill>
              <w14:schemeClr w14:val="tx1"/>
            </w14:solidFill>
          </w14:textFill>
        </w:rPr>
      </w:pPr>
      <w:r>
        <w:rPr>
          <w:rFonts w:hint="default" w:ascii="Times New Roman" w:hAnsi="Times New Roman" w:eastAsia="仿宋" w:cs="Times New Roman"/>
          <w:color w:val="000000" w:themeColor="text1"/>
          <w:sz w:val="20"/>
          <w:szCs w:val="20"/>
          <w:highlight w:val="none"/>
          <w14:textFill>
            <w14:solidFill>
              <w14:schemeClr w14:val="tx1"/>
            </w14:solidFill>
          </w14:textFill>
        </w:rPr>
      </w:r>
      <w:r/>
    </w:p>
    <w:p>
      <w:pPr>
        <w:spacing w:line="440" w:lineRule="exact"/>
        <w:rPr>
          <w:rFonts w:hint="default" w:ascii="Times New Roman" w:hAnsi="Times New Roman" w:eastAsia="仿宋" w:cs="Times New Roman"/>
          <w:color w:val="000000" w:themeColor="text1"/>
          <w:sz w:val="20"/>
          <w:szCs w:val="20"/>
          <w:highlight w:val="none"/>
          <w14:textFill>
            <w14:solidFill>
              <w14:schemeClr w14:val="tx1"/>
            </w14:solidFill>
          </w14:textFill>
        </w:rPr>
      </w:pPr>
      <w:r>
        <w:rPr>
          <w:rFonts w:hint="default" w:ascii="Times New Roman" w:hAnsi="Times New Roman" w:eastAsia="仿宋" w:cs="Times New Roman"/>
          <w:color w:val="000000" w:themeColor="text1"/>
          <w:sz w:val="20"/>
          <w:szCs w:val="20"/>
          <w:highlight w:val="none"/>
          <w14:textFill>
            <w14:solidFill>
              <w14:schemeClr w14:val="tx1"/>
            </w14:solidFill>
          </w14:textFill>
        </w:rPr>
      </w:r>
      <w:r/>
    </w:p>
    <w:p>
      <w:pPr>
        <w:rPr>
          <w:rFonts w:hint="default" w:ascii="Times New Roman" w:hAnsi="Times New Roman" w:eastAsia="仿宋" w:cs="Times New Roman"/>
          <w:color w:val="000000" w:themeColor="text1"/>
          <w:sz w:val="22"/>
          <w:szCs w:val="22"/>
          <w:highlight w:val="none"/>
          <w14:textFill>
            <w14:solidFill>
              <w14:schemeClr w14:val="tx1"/>
            </w14:solidFill>
          </w14:textFill>
        </w:rPr>
      </w:pPr>
      <w:r>
        <w:rPr>
          <w:rFonts w:hint="default" w:ascii="Times New Roman" w:hAnsi="Times New Roman" w:eastAsia="仿宋" w:cs="Times New Roman"/>
          <w:color w:val="000000" w:themeColor="text1"/>
          <w:sz w:val="22"/>
          <w:szCs w:val="22"/>
          <w:highlight w:val="none"/>
          <w14:textFill>
            <w14:solidFill>
              <w14:schemeClr w14:val="tx1"/>
            </w14:solidFill>
          </w14:textFill>
        </w:rPr>
      </w:r>
      <w:r/>
    </w:p>
    <w:p>
      <w:pPr>
        <w:rPr>
          <w:rFonts w:hint="default" w:ascii="Times New Roman" w:hAnsi="Times New Roman" w:eastAsia="仿宋" w:cs="Times New Roman"/>
          <w:color w:val="000000" w:themeColor="text1"/>
          <w:sz w:val="22"/>
          <w:szCs w:val="22"/>
          <w:highlight w:val="none"/>
          <w14:textFill>
            <w14:solidFill>
              <w14:schemeClr w14:val="tx1"/>
            </w14:solidFill>
          </w14:textFill>
        </w:rPr>
      </w:pPr>
      <w:r>
        <w:rPr>
          <w:rFonts w:hint="default" w:ascii="Times New Roman" w:hAnsi="Times New Roman" w:eastAsia="仿宋" w:cs="Times New Roman"/>
          <w:color w:val="000000" w:themeColor="text1"/>
          <w:sz w:val="22"/>
          <w:szCs w:val="22"/>
          <w:highlight w:val="none"/>
          <w14:textFill>
            <w14:solidFill>
              <w14:schemeClr w14:val="tx1"/>
            </w14:solidFill>
          </w14:textFill>
        </w:rPr>
      </w:r>
      <w:r/>
    </w:p>
    <w:p>
      <w:pPr>
        <w:jc w:val="center"/>
        <w:rPr>
          <w:rFonts w:hint="default" w:ascii="Times New Roman" w:hAnsi="Times New Roman" w:eastAsia="仿宋" w:cs="Times New Roman"/>
          <w:color w:val="000000" w:themeColor="text1"/>
          <w:sz w:val="52"/>
          <w:szCs w:val="52"/>
          <w:highlight w:val="none"/>
          <w14:textFill>
            <w14:solidFill>
              <w14:schemeClr w14:val="tx1"/>
            </w14:solidFill>
          </w14:textFill>
        </w:rPr>
      </w:pPr>
      <w:r>
        <w:rPr>
          <w:rFonts w:hint="default" w:ascii="Times New Roman" w:hAnsi="Times New Roman" w:eastAsia="仿宋" w:cs="Times New Roman"/>
          <w:color w:val="000000" w:themeColor="text1"/>
          <w:sz w:val="52"/>
          <w:szCs w:val="52"/>
          <w:highlight w:val="none"/>
          <w14:textFill>
            <w14:solidFill>
              <w14:schemeClr w14:val="tx1"/>
            </w14:solidFill>
          </w14:textFill>
        </w:rPr>
        <w:t xml:space="preserve">投标文件</w:t>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ind w:firstLine="720"/>
        <w:spacing w:line="360" w:lineRule="auto"/>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项目名称：</w:t>
      </w:r>
      <w:r/>
    </w:p>
    <w:p>
      <w:pPr>
        <w:ind w:firstLine="720"/>
        <w:spacing w:line="360" w:lineRule="auto"/>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eastAsia" w:eastAsia="仿宋" w:cs="Times New Roman"/>
          <w:color w:val="000000" w:themeColor="text1"/>
          <w:sz w:val="36"/>
          <w:szCs w:val="36"/>
          <w:highlight w:val="none"/>
          <w:lang w:val="en-US" w:eastAsia="zh-CN"/>
          <w14:textFill>
            <w14:solidFill>
              <w14:schemeClr w14:val="tx1"/>
            </w14:solidFill>
          </w14:textFill>
        </w:rPr>
        <w:t xml:space="preserve">招标</w:t>
      </w: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编号：</w:t>
      </w:r>
      <w:r/>
    </w:p>
    <w:p>
      <w:pPr>
        <w:ind w:firstLine="720"/>
        <w:spacing w:line="360" w:lineRule="auto"/>
        <w:rPr>
          <w:rFonts w:hint="default" w:ascii="Times New Roman" w:hAnsi="Times New Roman" w:eastAsia="仿宋" w:cs="Times New Roman"/>
          <w:color w:val="000000" w:themeColor="text1"/>
          <w:sz w:val="36"/>
          <w:szCs w:val="36"/>
          <w:highlight w:val="none"/>
          <w:u w:val="singl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投标人名称：（加盖</w:t>
      </w:r>
      <w:r>
        <w:rPr>
          <w:rFonts w:hint="eastAsia" w:eastAsia="仿宋"/>
          <w:color w:val="000000" w:themeColor="text1"/>
          <w:sz w:val="36"/>
          <w:szCs w:val="36"/>
          <w:highlight w:val="none"/>
          <w:lang w:val="en-US" w:eastAsia="zh-CN"/>
          <w14:textFill>
            <w14:solidFill>
              <w14:schemeClr w14:val="tx1"/>
            </w14:solidFill>
          </w14:textFill>
        </w:rPr>
        <w:t xml:space="preserve">CA</w:t>
      </w: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电子公章）</w:t>
      </w:r>
      <w:r/>
    </w:p>
    <w:p>
      <w:pPr>
        <w:ind w:firstLine="720"/>
        <w:jc w:val="left"/>
        <w:spacing w:line="360" w:lineRule="auto"/>
        <w:widowControl/>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日期：</w:t>
      </w:r>
      <w:r>
        <w:rPr>
          <w:rFonts w:hint="default" w:ascii="Times New Roman" w:hAnsi="Times New Roman" w:eastAsia="仿宋" w:cs="Times New Roman"/>
          <w:color w:val="000000" w:themeColor="text1"/>
          <w:sz w:val="28"/>
          <w:szCs w:val="28"/>
          <w:highlight w:val="none"/>
          <w14:textFill>
            <w14:solidFill>
              <w14:schemeClr w14:val="tx1"/>
            </w14:solidFill>
          </w14:textFill>
        </w:rPr>
        <w:br w:type="page" w:clear="all"/>
      </w:r>
      <w:r/>
    </w:p>
    <w:p>
      <w:pPr>
        <w:numPr>
          <w:ilvl w:val="0"/>
          <w:numId w:val="11"/>
        </w:numPr>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outlineLvl w:val="1"/>
      </w:pPr>
      <w:r/>
      <w:bookmarkStart w:id="158" w:name="_Toc2965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基本目录</w:t>
      </w:r>
      <w:bookmarkEnd w:id="158"/>
      <w:r/>
      <w:r/>
    </w:p>
    <w:p>
      <w:pPr>
        <w:spacing w:after="240"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159" w:name="_Toc2371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1.开标一览表</w:t>
      </w:r>
      <w:bookmarkEnd w:id="159"/>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开标一览表</w:t>
      </w:r>
      <w:r/>
    </w:p>
    <w:p>
      <w:pPr>
        <w:pStyle w:val="827"/>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投标人全称（CA公章）：供应商名称</w:t>
      </w:r>
      <w:r/>
    </w:p>
    <w:p>
      <w:pPr>
        <w:pStyle w:val="827"/>
        <w:spacing w:line="360" w:lineRule="auto"/>
        <w:rPr>
          <w:rFonts w:hint="default" w:ascii="Times New Roman" w:hAnsi="Times New Roman" w:eastAsia="仿宋" w:cs="Times New Roman"/>
          <w:color w:val="000000" w:themeColor="text1"/>
          <w:highlight w:val="none"/>
          <w:u w:val="single"/>
          <w:lang w:bidi="zh-CN"/>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项目名称：</w:t>
      </w:r>
      <w:r>
        <w:rPr>
          <w:rFonts w:hint="eastAsia" w:ascii="Times New Roman" w:hAnsi="Times New Roman" w:eastAsia="仿宋" w:cs="Times New Roman"/>
          <w:color w:val="000000" w:themeColor="text1"/>
          <w:highlight w:val="none"/>
          <w:lang w:bidi="zh-CN"/>
          <w14:textFill>
            <w14:solidFill>
              <w14:schemeClr w14:val="tx1"/>
            </w14:solidFill>
          </w14:textFill>
        </w:rPr>
        <w:tab/>
      </w:r>
      <w:r>
        <w:rPr>
          <w:rFonts w:hint="eastAsia" w:ascii="Times New Roman" w:hAnsi="Times New Roman" w:eastAsia="仿宋" w:cs="Times New Roman"/>
          <w:color w:val="000000" w:themeColor="text1"/>
          <w:highlight w:val="none"/>
          <w:lang w:bidi="zh-CN"/>
          <w14:textFill>
            <w14:solidFill>
              <w14:schemeClr w14:val="tx1"/>
            </w14:solidFill>
          </w14:textFill>
        </w:rPr>
        <w:t xml:space="preserve">南京市雨花台区机关事务管理服务中心食材供应（水产）及配送服务项目</w:t>
      </w:r>
      <w:r/>
    </w:p>
    <w:p>
      <w:pPr>
        <w:pStyle w:val="827"/>
        <w:rPr>
          <w:rFonts w:hint="eastAsia" w:ascii="Times New Roman" w:hAnsi="Times New Roman" w:eastAsia="仿宋" w:cs="Times New Roman"/>
          <w:color w:val="000000" w:themeColor="text1"/>
          <w:highlight w:val="none"/>
          <w:lang w:eastAsia="zh-CN"/>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项目编号：</w:t>
      </w:r>
      <w:r>
        <w:rPr>
          <w:rFonts w:hint="eastAsia" w:ascii="Times New Roman" w:hAnsi="Times New Roman" w:eastAsia="仿宋" w:cs="Times New Roman"/>
          <w:color w:val="000000" w:themeColor="text1"/>
          <w:highlight w:val="none"/>
          <w:lang w:eastAsia="zh-CN"/>
          <w14:textFill>
            <w14:solidFill>
              <w14:schemeClr w14:val="tx1"/>
            </w14:solidFill>
          </w14:textFill>
        </w:rPr>
        <w:t xml:space="preserve">JSZC-320114-YCGC-G2026-0012</w:t>
      </w:r>
      <w:r/>
    </w:p>
    <w:p>
      <w:pPr>
        <w:pStyle w:val="827"/>
        <w:rPr>
          <w:rFonts w:hint="default" w:ascii="Times New Roman" w:hAnsi="Times New Roman" w:eastAsia="仿宋" w:cs="Times New Roman"/>
          <w:color w:val="000000" w:themeColor="text1"/>
          <w:highlight w:val="none"/>
          <w:lang w:val="en-US" w:eastAsia="zh-CN"/>
          <w14:textFill>
            <w14:solidFill>
              <w14:schemeClr w14:val="tx1"/>
            </w14:solidFill>
          </w14:textFill>
        </w:rPr>
      </w:pPr>
      <w:r>
        <w:rPr>
          <w:rFonts w:hint="eastAsia" w:ascii="Times New Roman" w:hAnsi="Times New Roman" w:eastAsia="仿宋" w:cs="Times New Roman"/>
          <w:color w:val="000000" w:themeColor="text1"/>
          <w:highlight w:val="none"/>
          <w:lang w:val="en-US" w:eastAsia="zh-CN"/>
          <w14:textFill>
            <w14:solidFill>
              <w14:schemeClr w14:val="tx1"/>
            </w14:solidFill>
          </w14:textFill>
        </w:rPr>
        <w:t xml:space="preserve">分包号：分包号</w:t>
      </w:r>
      <w:r/>
    </w:p>
    <w:tbl>
      <w:tblPr>
        <w:tblStyle w:val="79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464"/>
        <w:gridCol w:w="5828"/>
      </w:tblGrid>
      <w:tr>
        <w:trPr>
          <w:tblCellSpacing w:w="15" w:type="dxa"/>
        </w:trPr>
        <w:tc>
          <w:tcPr>
            <w:tcW w:w="2419" w:type="dxa"/>
            <w:vAlign w:val="center"/>
            <w:textDirection w:val="lrTb"/>
            <w:noWrap w:val="false"/>
          </w:tcPr>
          <w:p>
            <w:pPr>
              <w:pStyle w:val="827"/>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投标</w:t>
            </w:r>
            <w:r>
              <w:rPr>
                <w:rFonts w:hint="eastAsia" w:ascii="Times New Roman" w:hAnsi="Times New Roman" w:eastAsia="仿宋" w:cs="Times New Roman"/>
                <w:color w:val="000000" w:themeColor="text1"/>
                <w:highlight w:val="none"/>
                <w:lang w:val="en-US" w:eastAsia="zh-CN"/>
                <w14:textFill>
                  <w14:solidFill>
                    <w14:schemeClr w14:val="tx1"/>
                  </w14:solidFill>
                </w14:textFill>
              </w:rPr>
              <w:t xml:space="preserve">服务</w:t>
            </w:r>
            <w:r>
              <w:rPr>
                <w:rFonts w:hint="default" w:ascii="Times New Roman" w:hAnsi="Times New Roman" w:eastAsia="仿宋" w:cs="Times New Roman"/>
                <w:color w:val="000000" w:themeColor="text1"/>
                <w:highlight w:val="none"/>
                <w14:textFill>
                  <w14:solidFill>
                    <w14:schemeClr w14:val="tx1"/>
                  </w14:solidFill>
                </w14:textFill>
              </w:rPr>
              <w:t xml:space="preserve">名称</w:t>
            </w:r>
            <w:r/>
          </w:p>
        </w:tc>
        <w:tc>
          <w:tcPr>
            <w:tcW w:w="5783" w:type="dxa"/>
            <w:vAlign w:val="center"/>
            <w:textDirection w:val="lrTb"/>
            <w:noWrap w:val="false"/>
          </w:tcPr>
          <w:p>
            <w:pPr>
              <w:pStyle w:val="827"/>
              <w:jc w:val="cente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优惠率（%）</w:t>
            </w:r>
            <w:r/>
          </w:p>
        </w:tc>
      </w:tr>
      <w:tr>
        <w:trPr>
          <w:tblCellSpacing w:w="15" w:type="dxa"/>
        </w:trPr>
        <w:tc>
          <w:tcPr>
            <w:tcW w:w="2419" w:type="dxa"/>
            <w:vAlign w:val="center"/>
            <w:textDirection w:val="lrTb"/>
            <w:noWrap w:val="false"/>
          </w:tcPr>
          <w:p>
            <w:pPr>
              <w:pStyle w:val="827"/>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lang w:bidi="zh-CN"/>
                <w14:textFill>
                  <w14:solidFill>
                    <w14:schemeClr w14:val="tx1"/>
                  </w14:solidFill>
                </w14:textFill>
              </w:rPr>
              <w:t xml:space="preserve">投标</w:t>
            </w:r>
            <w:r>
              <w:rPr>
                <w:rFonts w:hint="eastAsia" w:ascii="Times New Roman" w:hAnsi="Times New Roman" w:eastAsia="仿宋" w:cs="Times New Roman"/>
                <w:color w:val="000000" w:themeColor="text1"/>
                <w:highlight w:val="none"/>
                <w:lang w:val="en-US" w:bidi="zh-CN"/>
                <w14:textFill>
                  <w14:solidFill>
                    <w14:schemeClr w14:val="tx1"/>
                  </w14:solidFill>
                </w14:textFill>
              </w:rPr>
              <w:t xml:space="preserve">产品</w:t>
            </w:r>
            <w:r>
              <w:rPr>
                <w:rFonts w:hint="default" w:ascii="Times New Roman" w:hAnsi="Times New Roman" w:eastAsia="仿宋" w:cs="Times New Roman"/>
                <w:color w:val="000000" w:themeColor="text1"/>
                <w:highlight w:val="none"/>
                <w:lang w:bidi="zh-CN"/>
                <w14:textFill>
                  <w14:solidFill>
                    <w14:schemeClr w14:val="tx1"/>
                  </w14:solidFill>
                </w14:textFill>
              </w:rPr>
              <w:t xml:space="preserve">名称</w:t>
            </w:r>
            <w:r/>
          </w:p>
        </w:tc>
        <w:tc>
          <w:tcPr>
            <w:tcW w:w="5783" w:type="dxa"/>
            <w:vAlign w:val="center"/>
            <w:textDirection w:val="lrTb"/>
            <w:noWrap w:val="false"/>
          </w:tcPr>
          <w:p>
            <w:pPr>
              <w:pStyle w:val="827"/>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           </w:t>
            </w:r>
            <w:r>
              <w:rPr>
                <w:rFonts w:hint="eastAsia" w:ascii="Times New Roman" w:hAnsi="Times New Roman" w:eastAsia="仿宋"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highlight w:val="none"/>
                <w14:textFill>
                  <w14:solidFill>
                    <w14:schemeClr w14:val="tx1"/>
                  </w14:solidFill>
                </w14:textFill>
              </w:rPr>
              <w:t xml:space="preserve"> %                 </w:t>
            </w:r>
            <w:r/>
          </w:p>
        </w:tc>
      </w:tr>
    </w:tbl>
    <w:p>
      <w:pPr>
        <w:pStyle w:val="827"/>
        <w:jc w:val="right"/>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年   月     日</w:t>
      </w:r>
      <w:r/>
    </w:p>
    <w:p>
      <w:pPr>
        <w:pStyle w:val="827"/>
        <w:spacing w:before="0" w:beforeAutospacing="0" w:after="0" w:afterAutospacing="0"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41"/>
        <w:ind w:firstLine="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r/>
    </w:p>
    <w:p>
      <w:pPr>
        <w:pStyle w:val="785"/>
        <w:keepLines w:val="0"/>
        <w:spacing w:before="0" w:after="240" w:line="360" w:lineRule="auto"/>
        <w:tabs>
          <w:tab w:val="left" w:pos="1440" w:leader="none"/>
          <w:tab w:val="left" w:pos="5670" w:leader="none"/>
        </w:tabs>
        <w:rPr>
          <w:rFonts w:eastAsia="仿宋"/>
          <w:color w:val="auto"/>
          <w:sz w:val="24"/>
          <w:szCs w:val="24"/>
          <w:highlight w:val="none"/>
          <w:lang w:val="zh-CN"/>
        </w:rPr>
      </w:pPr>
      <w:r/>
      <w:bookmarkStart w:id="160" w:name="_Toc2944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w:t>
      </w:r>
      <w:r>
        <w:rPr>
          <w:rFonts w:eastAsia="仿宋"/>
          <w:color w:val="auto"/>
          <w:sz w:val="24"/>
          <w:szCs w:val="24"/>
          <w:highlight w:val="none"/>
        </w:rPr>
        <w:t xml:space="preserve">法</w:t>
      </w:r>
      <w:r>
        <w:rPr>
          <w:rFonts w:hint="eastAsia" w:eastAsia="仿宋"/>
          <w:color w:val="auto"/>
          <w:sz w:val="24"/>
          <w:szCs w:val="24"/>
          <w:highlight w:val="none"/>
          <w:lang w:val="en-US" w:eastAsia="zh-CN"/>
        </w:rPr>
        <w:t xml:space="preserve">人授权书</w:t>
      </w:r>
      <w:r>
        <w:rPr>
          <w:rFonts w:hint="eastAsia" w:eastAsia="仿宋"/>
          <w:color w:val="auto"/>
          <w:sz w:val="24"/>
          <w:szCs w:val="24"/>
          <w:highlight w:val="none"/>
        </w:rPr>
        <w:t xml:space="preserve">格式</w:t>
      </w:r>
      <w:bookmarkEnd w:id="160"/>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法人授权书</w:t>
      </w:r>
      <w:r/>
    </w:p>
    <w:p>
      <w:pPr>
        <w:pStyle w:val="827"/>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本授权书声明：____________（投标人名称）授权________________（被授权人的姓名）为我方就JSZC-</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pStyle w:val="827"/>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本授权书于______年____月____日起生效，特此声明。</w:t>
      </w:r>
      <w:r/>
    </w:p>
    <w:p>
      <w:pPr>
        <w:pStyle w:val="827"/>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pStyle w:val="827"/>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pStyle w:val="827"/>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pStyle w:val="827"/>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单位地址：</w:t>
      </w:r>
      <w:r>
        <w:rPr>
          <w:rFonts w:hint="eastAsia" w:ascii="仿宋" w:hAnsi="仿宋" w:eastAsia="仿宋" w:cs="仿宋"/>
          <w:color w:val="000000"/>
          <w:sz w:val="24"/>
          <w:szCs w:val="24"/>
          <w:u w:val="single"/>
        </w:rPr>
        <w:t xml:space="preserve">                                         </w:t>
      </w:r>
      <w:r/>
    </w:p>
    <w:p>
      <w:pPr>
        <w:pStyle w:val="827"/>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日期：</w:t>
      </w:r>
      <w:r>
        <w:rPr>
          <w:rFonts w:hint="eastAsia" w:ascii="仿宋" w:hAnsi="仿宋" w:eastAsia="仿宋" w:cs="仿宋"/>
          <w:color w:val="000000"/>
          <w:sz w:val="24"/>
          <w:szCs w:val="24"/>
          <w:u w:val="single"/>
        </w:rPr>
        <w:t xml:space="preserve">                                         </w:t>
      </w:r>
      <w:r/>
    </w:p>
    <w:p>
      <w:pPr>
        <w:jc w:val="center"/>
        <w:spacing w:line="360" w:lineRule="auto"/>
        <w:rPr>
          <w:rFonts w:eastAsia="仿宋"/>
          <w:b/>
          <w:bCs/>
          <w:color w:val="auto"/>
          <w:sz w:val="32"/>
          <w:szCs w:val="32"/>
          <w:highlight w:val="none"/>
        </w:rPr>
      </w:pPr>
      <w:r>
        <w:rPr>
          <w:rFonts w:eastAsia="仿宋"/>
          <w:b/>
          <w:bCs/>
          <w:color w:val="auto"/>
          <w:sz w:val="32"/>
          <w:szCs w:val="32"/>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附：后附法定代表人身份证正反面扫描件</w:t>
      </w:r>
      <w:r/>
    </w:p>
    <w:tbl>
      <w:tblPr>
        <w:tblStyle w:val="79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186"/>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rPr>
          <w:rFonts w:eastAsia="仿宋"/>
          <w:color w:val="auto"/>
          <w:sz w:val="24"/>
          <w:highlight w:val="none"/>
        </w:rPr>
      </w:pPr>
      <w:r>
        <w:rPr>
          <w:rFonts w:eastAsia="仿宋"/>
          <w:color w:val="auto"/>
          <w:sz w:val="24"/>
          <w:highlight w:val="none"/>
        </w:rPr>
        <w:br w:type="page" w:clear="all"/>
      </w:r>
      <w:r/>
    </w:p>
    <w:p>
      <w:pPr>
        <w:pStyle w:val="843"/>
        <w:rPr>
          <w:rFonts w:ascii="Times New Roman" w:hAnsi="Times New Roman" w:eastAsia="仿宋" w:cs="Times New Roman"/>
          <w:color w:val="auto"/>
          <w:highlight w:val="none"/>
        </w:rPr>
      </w:pPr>
      <w:r>
        <w:rPr>
          <w:rFonts w:hint="eastAsia" w:ascii="仿宋" w:hAnsi="仿宋" w:eastAsia="仿宋" w:cs="仿宋"/>
          <w:color w:val="000000"/>
          <w:sz w:val="24"/>
          <w:szCs w:val="24"/>
        </w:rPr>
        <w:t xml:space="preserve">被授权人</w:t>
      </w:r>
      <w:r>
        <w:rPr>
          <w:rFonts w:ascii="Times New Roman" w:hAnsi="Times New Roman" w:eastAsia="仿宋" w:cs="Times New Roman"/>
          <w:color w:val="auto"/>
          <w:highlight w:val="none"/>
        </w:rPr>
        <w:t xml:space="preserve">身份证正反面扫描件</w:t>
      </w:r>
      <w:r/>
    </w:p>
    <w:tbl>
      <w:tblPr>
        <w:tblStyle w:val="79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186"/>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hint="eastAsia" w:ascii="仿宋" w:hAnsi="仿宋" w:eastAsia="仿宋" w:cs="仿宋"/>
          <w:color w:val="000000"/>
          <w:sz w:val="24"/>
          <w:szCs w:val="24"/>
        </w:rPr>
        <w:t xml:space="preserve"> 被授权人</w:t>
      </w:r>
      <w:r>
        <w:rPr>
          <w:rFonts w:eastAsia="仿宋"/>
          <w:color w:val="auto"/>
          <w:sz w:val="24"/>
          <w:highlight w:val="none"/>
        </w:rPr>
        <w:t xml:space="preserve">社保证明材料：</w:t>
      </w:r>
      <w:r/>
    </w:p>
    <w:p>
      <w:pPr>
        <w:pStyle w:val="803"/>
        <w:rPr>
          <w:rFonts w:eastAsia="仿宋"/>
          <w:color w:val="auto"/>
          <w:sz w:val="24"/>
          <w:highlight w:val="none"/>
        </w:rPr>
      </w:pPr>
      <w:r>
        <w:rPr>
          <w:rFonts w:eastAsia="仿宋"/>
          <w:color w:val="auto"/>
          <w:sz w:val="24"/>
          <w:highlight w:val="none"/>
        </w:rPr>
      </w:r>
      <w:r/>
    </w:p>
    <w:p>
      <w:pPr>
        <w:pStyle w:val="803"/>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w:t>
      </w:r>
      <w:r>
        <w:rPr>
          <w:rFonts w:eastAsia="仿宋"/>
          <w:b/>
          <w:bCs/>
          <w:color w:val="auto"/>
          <w:sz w:val="24"/>
          <w:highlight w:val="none"/>
        </w:rPr>
        <w:t xml:space="preserve">注：投标文件中提供</w:t>
      </w:r>
      <w:r>
        <w:rPr>
          <w:rFonts w:hint="eastAsia" w:eastAsia="仿宋"/>
          <w:b/>
          <w:bCs/>
          <w:color w:val="auto"/>
          <w:sz w:val="24"/>
          <w:highlight w:val="none"/>
        </w:rPr>
        <w:t xml:space="preserve">被授权人</w:t>
      </w:r>
      <w:r>
        <w:rPr>
          <w:rFonts w:eastAsia="仿宋"/>
          <w:b/>
          <w:bCs/>
          <w:color w:val="auto"/>
          <w:sz w:val="24"/>
          <w:highlight w:val="none"/>
        </w:rPr>
        <w:t xml:space="preserve">202</w:t>
      </w:r>
      <w:r>
        <w:rPr>
          <w:rFonts w:hint="eastAsia" w:eastAsia="仿宋"/>
          <w:b/>
          <w:bCs/>
          <w:color w:val="auto"/>
          <w:sz w:val="24"/>
          <w:highlight w:val="none"/>
        </w:rPr>
        <w:t xml:space="preserve">6</w:t>
      </w:r>
      <w:r>
        <w:rPr>
          <w:rFonts w:eastAsia="仿宋"/>
          <w:b/>
          <w:bCs/>
          <w:color w:val="auto"/>
          <w:sz w:val="24"/>
          <w:highlight w:val="none"/>
        </w:rPr>
        <w:t xml:space="preserve">年</w:t>
      </w:r>
      <w:r>
        <w:rPr>
          <w:rFonts w:hint="eastAsia" w:eastAsia="仿宋"/>
          <w:b/>
          <w:bCs/>
          <w:color w:val="auto"/>
          <w:sz w:val="24"/>
          <w:highlight w:val="none"/>
        </w:rPr>
        <w:t xml:space="preserve">1</w:t>
      </w:r>
      <w:r>
        <w:rPr>
          <w:rFonts w:eastAsia="仿宋"/>
          <w:b/>
          <w:bCs/>
          <w:color w:val="auto"/>
          <w:sz w:val="24"/>
          <w:highlight w:val="none"/>
        </w:rPr>
        <w:t xml:space="preserve">月以来任意一个月供应商为其缴纳社保的证明材料扫描件加盖公章。</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pStyle w:val="785"/>
        <w:keepLines w:val="0"/>
        <w:spacing w:before="0" w:after="240" w:line="360" w:lineRule="auto"/>
        <w:tabs>
          <w:tab w:val="left" w:pos="1440" w:leader="none"/>
          <w:tab w:val="left" w:pos="5670" w:leader="none"/>
        </w:tabs>
        <w:rPr>
          <w:rFonts w:hint="default" w:eastAsia="仿宋"/>
          <w:b/>
          <w:bCs/>
          <w:color w:val="auto"/>
          <w:sz w:val="24"/>
          <w:highlight w:val="none"/>
          <w:lang w:val="en-US" w:eastAsia="zh-CN"/>
        </w:rPr>
      </w:pPr>
      <w:r>
        <w:rPr>
          <w:rFonts w:hint="default" w:ascii="Times New Roman" w:hAnsi="Times New Roman" w:eastAsia="仿宋" w:cs="Times New Roman"/>
          <w:color w:val="000000" w:themeColor="text1"/>
          <w:szCs w:val="21"/>
          <w:highlight w:val="none"/>
          <w14:textFill>
            <w14:solidFill>
              <w14:schemeClr w14:val="tx1"/>
            </w14:solidFill>
          </w14:textFill>
        </w:rPr>
        <w:br w:type="page" w:clear="all"/>
      </w:r>
      <w:bookmarkStart w:id="161" w:name="_Toc6320"/>
      <w:r/>
      <w:bookmarkStart w:id="162" w:name="_Toc28144"/>
      <w:r/>
      <w:bookmarkStart w:id="163" w:name="_Toc5046"/>
      <w:r/>
      <w:bookmarkStart w:id="164" w:name="_Toc8362"/>
      <w:r/>
      <w:bookmarkStart w:id="165" w:name="_Toc18755"/>
      <w:r/>
      <w:bookmarkStart w:id="166" w:name="_Toc30902"/>
      <w:r/>
      <w:bookmarkStart w:id="167" w:name="_Toc24094"/>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3.</w:t>
      </w:r>
      <w:bookmarkEnd w:id="161"/>
      <w:r/>
      <w:bookmarkEnd w:id="162"/>
      <w:r/>
      <w:bookmarkEnd w:id="163"/>
      <w:r/>
      <w:bookmarkEnd w:id="164"/>
      <w:r/>
      <w:bookmarkEnd w:id="165"/>
      <w:r/>
      <w:bookmarkEnd w:id="166"/>
      <w:r>
        <w:rPr>
          <w:rFonts w:eastAsia="仿宋"/>
          <w:b/>
          <w:bCs/>
          <w:color w:val="auto"/>
          <w:sz w:val="24"/>
          <w:highlight w:val="none"/>
        </w:rPr>
        <w:t xml:space="preserve">投标</w:t>
      </w:r>
      <w:r>
        <w:rPr>
          <w:rFonts w:hint="eastAsia" w:eastAsia="仿宋"/>
          <w:b/>
          <w:bCs/>
          <w:color w:val="auto"/>
          <w:sz w:val="24"/>
          <w:highlight w:val="none"/>
          <w:lang w:val="en-US" w:eastAsia="zh-CN"/>
        </w:rPr>
        <w:t xml:space="preserve">函</w:t>
      </w:r>
      <w:r>
        <w:rPr>
          <w:rFonts w:eastAsia="仿宋"/>
          <w:b/>
          <w:bCs/>
          <w:color w:val="auto"/>
          <w:sz w:val="24"/>
          <w:highlight w:val="none"/>
        </w:rPr>
        <w:t xml:space="preserve">格式</w:t>
      </w:r>
      <w:bookmarkEnd w:id="167"/>
      <w:r/>
      <w:r/>
    </w:p>
    <w:p>
      <w:pPr>
        <w:jc w:val="center"/>
        <w:spacing w:line="360" w:lineRule="auto"/>
        <w:shd w:val="clear" w:color="auto" w:fill="ffffff"/>
        <w:widowControl/>
        <w:rPr>
          <w:rFonts w:hint="eastAsia" w:eastAsia="仿宋"/>
          <w:b/>
          <w:color w:val="auto"/>
          <w:sz w:val="32"/>
          <w:szCs w:val="32"/>
          <w:highlight w:val="none"/>
          <w:lang w:eastAsia="zh-CN"/>
        </w:rPr>
      </w:pPr>
      <w:r>
        <w:rPr>
          <w:rFonts w:eastAsia="仿宋"/>
          <w:b/>
          <w:color w:val="auto"/>
          <w:sz w:val="32"/>
          <w:szCs w:val="32"/>
          <w:highlight w:val="none"/>
        </w:rPr>
        <w:t xml:space="preserve">投标</w:t>
      </w:r>
      <w:r>
        <w:rPr>
          <w:rFonts w:hint="eastAsia" w:eastAsia="仿宋"/>
          <w:b/>
          <w:color w:val="auto"/>
          <w:sz w:val="32"/>
          <w:szCs w:val="32"/>
          <w:highlight w:val="none"/>
          <w:lang w:val="en-US" w:eastAsia="zh-CN"/>
        </w:rPr>
        <w:t xml:space="preserve">函</w:t>
      </w:r>
      <w:r/>
    </w:p>
    <w:p>
      <w:pPr>
        <w:pStyle w:val="827"/>
        <w:ind w:left="0" w:righ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致：南京市雨花台区机关事务管理服务中心</w:t>
      </w:r>
      <w:r/>
    </w:p>
    <w:p>
      <w:pPr>
        <w:pStyle w:val="82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根据贵方的JSZC-</w:t>
      </w:r>
      <w:r>
        <w:rPr>
          <w:rFonts w:hint="default" w:ascii="Times New Roman" w:hAnsi="Times New Roman" w:eastAsia="仿宋" w:cs="Times New Roman"/>
          <w:color w:val="000000"/>
          <w:sz w:val="24"/>
          <w:szCs w:val="24"/>
          <w:u w:val="single"/>
        </w:rPr>
        <w:t xml:space="preserve">            </w:t>
      </w:r>
      <w:r>
        <w:rPr>
          <w:rFonts w:hint="default" w:ascii="Times New Roman" w:hAnsi="Times New Roman" w:eastAsia="仿宋" w:cs="Times New Roman"/>
          <w:color w:val="000000"/>
          <w:sz w:val="24"/>
          <w:szCs w:val="24"/>
        </w:rPr>
        <w:t xml:space="preserve">号招标文件，正式授权下述</w:t>
      </w:r>
      <w:bookmarkStart w:id="226" w:name="_GoBack"/>
      <w:r/>
      <w:bookmarkEnd w:id="226"/>
      <w:r>
        <w:rPr>
          <w:rFonts w:hint="default" w:ascii="Times New Roman" w:hAnsi="Times New Roman" w:eastAsia="仿宋" w:cs="Times New Roman"/>
          <w:color w:val="000000"/>
          <w:sz w:val="24"/>
          <w:szCs w:val="24"/>
        </w:rPr>
        <w:t xml:space="preserve">签字人_________________(姓名)代表我方______________（投标人的名称），全权处理本次项目投标的有关事宜。</w:t>
      </w:r>
      <w:r/>
    </w:p>
    <w:p>
      <w:pPr>
        <w:pStyle w:val="82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据此函，__________签字人兹宣布同意如下：</w:t>
      </w:r>
      <w:r/>
    </w:p>
    <w:p>
      <w:pPr>
        <w:pStyle w:val="82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1.按招标文件规定的各项要求，向买方提供所需服务（包含与服务相关的货物）。</w:t>
      </w:r>
      <w:r/>
    </w:p>
    <w:p>
      <w:pPr>
        <w:pStyle w:val="82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2.我们完全理解贵方不一定将合同授予最低报价的投标人。</w:t>
      </w:r>
      <w:r/>
    </w:p>
    <w:p>
      <w:pPr>
        <w:pStyle w:val="82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3.我们已详细审核全部招标文件及其有效补充文件，我们知道必须放弃提出含糊不清或误解问题的权利。</w:t>
      </w:r>
      <w:r/>
    </w:p>
    <w:p>
      <w:pPr>
        <w:pStyle w:val="82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4.我们同意从规定的开标日期起遵循本投标文件，并在规定的投标有效期期满之前均具有约束力。</w:t>
      </w:r>
      <w:r/>
    </w:p>
    <w:p>
      <w:pPr>
        <w:pStyle w:val="82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5.同意向贵方提供贵方可能另外要求的与投标有关的任何证据或资料，并保证我方已提供和将要提供的文件是真实的、准确的。</w:t>
      </w:r>
      <w:r/>
    </w:p>
    <w:p>
      <w:pPr>
        <w:pStyle w:val="82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6.一旦我方中标</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我方将根据招标文件的规定，严格履行合同的责任和义务</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并保证在招标文件规定的时间完成项目，交付买方验收、使用。</w:t>
      </w:r>
      <w:r/>
    </w:p>
    <w:p>
      <w:pPr>
        <w:pStyle w:val="82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7.与本投标有关的正式通讯地址为：</w:t>
      </w:r>
      <w:r/>
    </w:p>
    <w:p>
      <w:pPr>
        <w:pStyle w:val="82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地址：</w:t>
      </w:r>
      <w:r/>
    </w:p>
    <w:p>
      <w:pPr>
        <w:pStyle w:val="82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邮编：</w:t>
      </w:r>
      <w:r/>
    </w:p>
    <w:p>
      <w:pPr>
        <w:pStyle w:val="82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电话：</w:t>
      </w:r>
      <w:r/>
    </w:p>
    <w:p>
      <w:pPr>
        <w:pStyle w:val="82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000000"/>
          <w:sz w:val="24"/>
          <w:szCs w:val="24"/>
          <w:lang w:val="en-US" w:eastAsia="zh-CN"/>
        </w:rPr>
        <w:t xml:space="preserve">邮箱</w:t>
      </w:r>
      <w:r>
        <w:rPr>
          <w:rFonts w:hint="default" w:ascii="Times New Roman" w:hAnsi="Times New Roman" w:eastAsia="仿宋" w:cs="Times New Roman"/>
          <w:color w:val="000000"/>
          <w:sz w:val="24"/>
          <w:szCs w:val="24"/>
        </w:rPr>
        <w:t xml:space="preserve">：</w:t>
      </w:r>
      <w:r/>
    </w:p>
    <w:p>
      <w:pPr>
        <w:pStyle w:val="82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投标人开户行：</w:t>
      </w:r>
      <w:r/>
    </w:p>
    <w:p>
      <w:pPr>
        <w:pStyle w:val="82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账户： </w:t>
      </w:r>
      <w:r/>
    </w:p>
    <w:p>
      <w:pPr>
        <w:pStyle w:val="827"/>
        <w:jc w:val="both"/>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日期：________年____月____日</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420"/>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ind w:firstLine="420"/>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b/>
          <w:bCs/>
          <w:color w:val="000000" w:themeColor="text1"/>
          <w:szCs w:val="21"/>
          <w:highlight w:val="none"/>
          <w:lang w:val="zh-CN"/>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68" w:name="_Toc12264"/>
      <w:r/>
      <w:bookmarkEnd w:id="168"/>
      <w:r/>
    </w:p>
    <w:p>
      <w:pPr>
        <w:pStyle w:val="785"/>
        <w:keepLines w:val="0"/>
        <w:spacing w:before="0" w:after="240" w:line="360" w:lineRule="auto"/>
        <w:tabs>
          <w:tab w:val="left" w:pos="1440" w:leader="none"/>
          <w:tab w:val="left" w:pos="5670" w:leader="none"/>
        </w:tabs>
        <w:rPr>
          <w:rFonts w:hint="default" w:ascii="Times New Roman" w:hAnsi="Times New Roman" w:eastAsia="仿宋" w:cs="Times New Roman"/>
          <w:color w:val="000000" w:themeColor="text1"/>
          <w:sz w:val="24"/>
          <w:szCs w:val="24"/>
          <w:highlight w:val="none"/>
          <w14:textFill>
            <w14:solidFill>
              <w14:schemeClr w14:val="tx1"/>
            </w14:solidFill>
          </w14:textFill>
        </w:rPr>
      </w:pPr>
      <w:r/>
      <w:bookmarkStart w:id="169" w:name="_Toc28686"/>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w:t>
      </w:r>
      <w:r>
        <w:rPr>
          <w:rFonts w:hint="eastAsia" w:eastAsia="仿宋" w:cs="Times New Roman"/>
          <w:color w:val="000000" w:themeColor="text1"/>
          <w:sz w:val="24"/>
          <w:szCs w:val="24"/>
          <w:highlight w:val="none"/>
          <w:lang w:val="en-US" w:eastAsia="zh-CN"/>
          <w14:textFill>
            <w14:solidFill>
              <w14:schemeClr w14:val="tx1"/>
            </w14:solidFill>
          </w14:textFill>
        </w:rPr>
        <w:t xml:space="preserve">技术响应</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偏离表格式</w:t>
      </w:r>
      <w:bookmarkEnd w:id="169"/>
      <w:r/>
      <w:r/>
    </w:p>
    <w:p>
      <w:pPr>
        <w:ind w:left="420"/>
        <w:jc w:val="center"/>
        <w:spacing w:line="360" w:lineRule="auto"/>
        <w:shd w:val="clear" w:color="auto" w:fill="ffffff"/>
        <w:widowControl/>
        <w:rPr>
          <w:rFonts w:eastAsia="仿宋"/>
          <w:b/>
          <w:color w:val="auto"/>
          <w:sz w:val="32"/>
          <w:szCs w:val="32"/>
          <w:highlight w:val="none"/>
        </w:rPr>
      </w:pPr>
      <w:r>
        <w:rPr>
          <w:rFonts w:hint="eastAsia" w:eastAsia="仿宋"/>
          <w:b/>
          <w:color w:val="auto"/>
          <w:sz w:val="32"/>
          <w:szCs w:val="32"/>
          <w:highlight w:val="none"/>
          <w:lang w:val="en-US" w:eastAsia="zh-CN"/>
        </w:rPr>
        <w:t xml:space="preserve">技术要求响应及</w:t>
      </w:r>
      <w:r>
        <w:rPr>
          <w:rFonts w:eastAsia="仿宋"/>
          <w:b/>
          <w:color w:val="auto"/>
          <w:sz w:val="32"/>
          <w:szCs w:val="32"/>
          <w:highlight w:val="none"/>
        </w:rPr>
        <w:t xml:space="preserve">偏离表</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1825"/>
        <w:gridCol w:w="1950"/>
        <w:gridCol w:w="2863"/>
        <w:gridCol w:w="1249"/>
      </w:tblGrid>
      <w:tr>
        <w:trPr>
          <w:jc w:val="center"/>
          <w:trHeight w:val="480"/>
        </w:trPr>
        <w:tc>
          <w:tcPr>
            <w:tcMar>
              <w:left w:w="10" w:type="dxa"/>
              <w:top w:w="0" w:type="dxa"/>
              <w:right w:w="10" w:type="dxa"/>
              <w:bottom w:w="0" w:type="dxa"/>
            </w:tcMar>
            <w:tcW w:w="375"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1070" w:type="pct"/>
            <w:vAlign w:val="center"/>
            <w:textDirection w:val="lrTb"/>
            <w:noWrap/>
          </w:tcPr>
          <w:p>
            <w:pPr>
              <w:jc w:val="center"/>
              <w:widowControl/>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招标</w:t>
            </w:r>
            <w:r>
              <w:rPr>
                <w:rFonts w:eastAsia="仿宋"/>
                <w:b/>
                <w:color w:val="auto"/>
                <w:sz w:val="24"/>
                <w:highlight w:val="none"/>
              </w:rPr>
              <w:t xml:space="preserve">文件</w:t>
            </w:r>
            <w:r>
              <w:rPr>
                <w:rFonts w:hint="eastAsia" w:eastAsia="仿宋"/>
                <w:b/>
                <w:color w:val="auto"/>
                <w:sz w:val="24"/>
                <w:highlight w:val="none"/>
                <w:lang w:val="en-US" w:eastAsia="zh-CN"/>
              </w:rPr>
              <w:t xml:space="preserve">要求</w:t>
            </w:r>
            <w:r/>
          </w:p>
        </w:tc>
        <w:tc>
          <w:tcPr>
            <w:tcMar>
              <w:left w:w="10" w:type="dxa"/>
              <w:top w:w="0" w:type="dxa"/>
              <w:right w:w="10" w:type="dxa"/>
              <w:bottom w:w="0" w:type="dxa"/>
            </w:tcMar>
            <w:tcW w:w="1143"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1678"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732"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说明：1.</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如果行数不够，</w:t>
      </w:r>
      <w:r>
        <w:rPr>
          <w:rFonts w:hint="eastAsia" w:eastAsia="仿宋" w:cs="Times New Roman"/>
          <w:color w:val="000000" w:themeColor="text1"/>
          <w:sz w:val="24"/>
          <w:highlight w:val="none"/>
          <w:lang w:val="en-US" w:eastAsia="zh-CN"/>
          <w14:textFill>
            <w14:solidFill>
              <w14:schemeClr w14:val="tx1"/>
            </w14:solidFill>
          </w14:textFill>
        </w:rPr>
        <w:t xml:space="preserve">可</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自行增加。</w:t>
      </w:r>
      <w:r/>
    </w:p>
    <w:p>
      <w:pPr>
        <w:pStyle w:val="841"/>
        <w:ind w:firstLine="7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2.对招标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w:t>
      </w:r>
      <w:r>
        <w:rPr>
          <w:rFonts w:hint="default" w:ascii="Times New Roman" w:hAnsi="Times New Roman" w:eastAsia="仿宋" w:cs="Times New Roman"/>
          <w:color w:val="000000" w:themeColor="text1"/>
          <w:sz w:val="24"/>
          <w:highlight w:val="none"/>
          <w14:textFill>
            <w14:solidFill>
              <w14:schemeClr w14:val="tx1"/>
            </w14:solidFill>
          </w14:textFill>
        </w:rPr>
        <w:t xml:space="preserve">采购需求</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的，请在本表中逐条列出。未列出的，视为响应</w:t>
      </w:r>
      <w:r>
        <w:rPr>
          <w:rFonts w:hint="default" w:ascii="Times New Roman" w:hAnsi="Times New Roman" w:eastAsia="仿宋" w:cs="Times New Roman"/>
          <w:color w:val="000000" w:themeColor="text1"/>
          <w:sz w:val="24"/>
          <w:highlight w:val="none"/>
          <w14:textFill>
            <w14:solidFill>
              <w14:schemeClr w14:val="tx1"/>
            </w14:solidFill>
          </w14:textFill>
        </w:rPr>
        <w:t xml:space="preserve">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文件要求。</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after="240"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70" w:name="_Toc2632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5.商务</w:t>
      </w:r>
      <w:r>
        <w:rPr>
          <w:rFonts w:hint="eastAsia" w:eastAsia="仿宋" w:cs="Times New Roman"/>
          <w:b/>
          <w:bCs/>
          <w:color w:val="000000" w:themeColor="text1"/>
          <w:sz w:val="24"/>
          <w:highlight w:val="none"/>
          <w:lang w:val="en-US" w:eastAsia="zh-CN"/>
          <w14:textFill>
            <w14:solidFill>
              <w14:schemeClr w14:val="tx1"/>
            </w14:solidFill>
          </w14:textFill>
        </w:rPr>
        <w:t xml:space="preserve">响应</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偏离表格式</w:t>
      </w:r>
      <w:bookmarkEnd w:id="170"/>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商务</w:t>
      </w:r>
      <w:r>
        <w:rPr>
          <w:rFonts w:hint="eastAsia" w:eastAsia="仿宋"/>
          <w:b/>
          <w:color w:val="auto"/>
          <w:sz w:val="32"/>
          <w:szCs w:val="32"/>
          <w:highlight w:val="none"/>
          <w:lang w:val="en-US" w:eastAsia="zh-CN"/>
        </w:rPr>
        <w:t xml:space="preserve">要求响应及</w:t>
      </w:r>
      <w:r>
        <w:rPr>
          <w:rFonts w:eastAsia="仿宋"/>
          <w:b/>
          <w:color w:val="auto"/>
          <w:sz w:val="32"/>
          <w:szCs w:val="32"/>
          <w:highlight w:val="none"/>
        </w:rPr>
        <w:t xml:space="preserve">偏离表</w:t>
      </w:r>
      <w:r/>
    </w:p>
    <w:tbl>
      <w:tblPr>
        <w:tblStyle w:val="79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eastAsia" w:eastAsia="仿宋"/>
                <w:b/>
                <w:color w:val="auto"/>
                <w:sz w:val="24"/>
                <w:highlight w:val="none"/>
                <w:lang w:val="en-US" w:eastAsia="zh-CN"/>
              </w:rPr>
              <w:t xml:space="preserve">招标文件要求</w:t>
            </w:r>
            <w:r/>
          </w:p>
        </w:tc>
        <w:tc>
          <w:tcPr>
            <w:tcMar>
              <w:left w:w="10" w:type="dxa"/>
              <w:top w:w="0" w:type="dxa"/>
              <w:right w:w="10" w:type="dxa"/>
              <w:bottom w:w="0" w:type="dxa"/>
            </w:tcMar>
            <w:tcW w:w="2700" w:type="dxa"/>
            <w:vAlign w:val="center"/>
            <w:textDirection w:val="lrTb"/>
            <w:noWrap w:val="false"/>
          </w:tcPr>
          <w:p>
            <w:pPr>
              <w:jc w:val="cente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2363" w:type="dxa"/>
            <w:vAlign w:val="center"/>
            <w:textDirection w:val="lrTb"/>
            <w:noWrap w:val="false"/>
          </w:tcPr>
          <w:p>
            <w:pPr>
              <w:jc w:val="cente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1201" w:type="dxa"/>
            <w:vAlign w:val="center"/>
            <w:textDirection w:val="lrTb"/>
            <w:noWrap w:val="false"/>
          </w:tcPr>
          <w:p>
            <w:pPr>
              <w:jc w:val="cente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eastAsia" w:eastAsia="仿宋"/>
                <w:b/>
                <w:color w:val="auto"/>
                <w:sz w:val="24"/>
                <w:highlight w:val="none"/>
                <w:lang w:val="en-US" w:eastAsia="zh-CN"/>
              </w:rPr>
              <w:t xml:space="preserve">证明材料</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说明：1.如果行数不够，</w:t>
      </w:r>
      <w:r>
        <w:rPr>
          <w:rFonts w:hint="eastAsia" w:eastAsia="仿宋" w:cs="Times New Roman"/>
          <w:color w:val="000000" w:themeColor="text1"/>
          <w:sz w:val="24"/>
          <w:highlight w:val="none"/>
          <w:lang w:val="en-US" w:eastAsia="zh-CN"/>
          <w14:textFill>
            <w14:solidFill>
              <w14:schemeClr w14:val="tx1"/>
            </w14:solidFill>
          </w14:textFill>
        </w:rPr>
        <w:t xml:space="preserve">可</w:t>
      </w:r>
      <w:r>
        <w:rPr>
          <w:rFonts w:hint="default" w:ascii="Times New Roman" w:hAnsi="Times New Roman" w:eastAsia="仿宋" w:cs="Times New Roman"/>
          <w:color w:val="000000" w:themeColor="text1"/>
          <w:sz w:val="24"/>
          <w:highlight w:val="none"/>
          <w14:textFill>
            <w14:solidFill>
              <w14:schemeClr w14:val="tx1"/>
            </w14:solidFill>
          </w14:textFill>
        </w:rPr>
        <w:t xml:space="preserve">自行增加。</w:t>
      </w:r>
      <w:r/>
    </w:p>
    <w:p>
      <w:pPr>
        <w:pStyle w:val="841"/>
        <w:ind w:firstLine="7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2.对招标文件商务部分内容响应存在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hint="default" w:ascii="Times New Roman" w:hAnsi="Times New Roman" w:eastAsia="仿宋" w:cs="Times New Roman"/>
          <w:color w:val="000000" w:themeColor="text1"/>
          <w:sz w:val="24"/>
          <w:highlight w:val="none"/>
          <w14:textFill>
            <w14:solidFill>
              <w14:schemeClr w14:val="tx1"/>
            </w14:solidFill>
          </w14:textFill>
        </w:rPr>
        <w:t xml:space="preserve">的，请在本表中逐条列出。未列出的，视为响应招标文件要求。</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jc w:val="left"/>
        <w:spacing w:after="240" w:line="360" w:lineRule="auto"/>
        <w:shd w:val="clear" w:color="auto" w:fill="ffffff"/>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outlineLvl w:val="2"/>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71" w:name="_Toc1899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6.采购文件要求及投标人认为需要提供的其他证明文件及材料</w:t>
      </w:r>
      <w:bookmarkEnd w:id="171"/>
      <w:r/>
      <w:r/>
    </w:p>
    <w:p>
      <w:pPr>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br w:type="page" w:clear="all"/>
      </w:r>
      <w:r/>
    </w:p>
    <w:p>
      <w:pPr>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outlineLvl w:val="1"/>
      </w:pPr>
      <w:r/>
      <w:bookmarkStart w:id="172" w:name="_Toc8365"/>
      <w:r>
        <w:rPr>
          <w:rFonts w:hint="default" w:ascii="Times New Roman" w:hAnsi="Times New Roman" w:eastAsia="仿宋" w:cs="Times New Roman"/>
          <w:b/>
          <w:color w:val="000000" w:themeColor="text1"/>
          <w:sz w:val="24"/>
          <w:highlight w:val="none"/>
          <w14:textFill>
            <w14:solidFill>
              <w14:schemeClr w14:val="tx1"/>
            </w14:solidFill>
          </w14:textFill>
        </w:rPr>
        <w:t xml:space="preserve">二、资格文件</w:t>
      </w:r>
      <w:bookmarkEnd w:id="172"/>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 资格证明文件</w:t>
      </w:r>
      <w:r/>
    </w:p>
    <w:p>
      <w:pPr>
        <w:numPr>
          <w:ilvl w:val="0"/>
          <w:numId w:val="12"/>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bookmarkStart w:id="173" w:name="_Toc19376"/>
      <w:r/>
      <w:bookmarkStart w:id="174" w:name="_Toc7902"/>
      <w:r/>
      <w:bookmarkStart w:id="175" w:name="_Toc1390"/>
      <w:r>
        <w:rPr>
          <w:rFonts w:hint="default" w:ascii="Times New Roman" w:hAnsi="Times New Roman" w:eastAsia="仿宋" w:cs="Times New Roman"/>
          <w:color w:val="000000" w:themeColor="text1"/>
          <w:sz w:val="24"/>
          <w:highlight w:val="none"/>
          <w14:textFill>
            <w14:solidFill>
              <w14:schemeClr w14:val="tx1"/>
            </w14:solidFill>
          </w14:textFill>
        </w:rPr>
        <w:t xml:space="preserve">具有独立承担民事责任的能力（法人或者其他组织提供营业执照或法人证书，自然人提供身份证，扫描件</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加盖</w:t>
      </w:r>
      <w:r>
        <w:rPr>
          <w:rFonts w:hint="default" w:ascii="Times New Roman" w:hAnsi="Times New Roman" w:eastAsia="仿宋" w:cs="Times New Roman"/>
          <w:color w:val="000000" w:themeColor="text1"/>
          <w:sz w:val="24"/>
          <w:highlight w:val="none"/>
          <w14:textFill>
            <w14:solidFill>
              <w14:schemeClr w14:val="tx1"/>
            </w14:solidFill>
          </w14:textFill>
        </w:rPr>
        <w:t xml:space="preserve">电子</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公章）；</w:t>
      </w:r>
      <w:r/>
    </w:p>
    <w:p>
      <w:pPr>
        <w:numPr>
          <w:ilvl w:val="0"/>
          <w:numId w:val="12"/>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2"/>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2"/>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具有履行合同所必需的设备和专业技术能力（根据项目需求提供履行合同所必需的设备和专业技术能力的声明或证明材料，提供承诺书（格式见附件）加盖电子公章）；</w:t>
      </w:r>
      <w:r/>
    </w:p>
    <w:p>
      <w:pPr>
        <w:pStyle w:val="841"/>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（6）未被列入失信被执行人、重大税收违法案件当事人名单、政府采购严重违法失信行为记录名单的证明材料（提供信用中国网站查询截图加盖电子公章）。</w:t>
      </w:r>
      <w:r/>
    </w:p>
    <w:p>
      <w:pPr>
        <w:ind w:firstLine="484"/>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7</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）本次采购项目实施所必</w:t>
      </w:r>
      <w:r>
        <w:rPr>
          <w:rFonts w:hint="default" w:ascii="Times New Roman" w:hAnsi="Times New Roman" w:eastAsia="仿宋" w:cs="Times New Roman"/>
          <w:color w:val="000000" w:themeColor="text1"/>
          <w:sz w:val="24"/>
          <w:highlight w:val="none"/>
          <w14:textFill>
            <w14:solidFill>
              <w14:schemeClr w14:val="tx1"/>
            </w14:solidFill>
          </w14:textFill>
        </w:rPr>
        <w:t xml:space="preserve">需</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的许可资质证明材料（若有）。</w:t>
      </w:r>
      <w:r/>
    </w:p>
    <w:p>
      <w:pPr>
        <w:pStyle w:val="841"/>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注：第（5）条重大违法记录，是指供应商因违法经营受到刑事处罚或者责令停产停业、吊销许可证或者执照、较大数额罚款等行政处罚。</w:t>
      </w:r>
      <w:bookmarkEnd w:id="173"/>
      <w:r/>
      <w:bookmarkEnd w:id="174"/>
      <w:r/>
      <w:bookmarkEnd w:id="175"/>
      <w:r/>
      <w:r/>
    </w:p>
    <w:p>
      <w:pPr>
        <w:ind w:firstLine="484"/>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根据《关于在政府采购活动中推行信用承诺制的通知》宁财购通〔2021〕5号规定，以上（2）-（6）条可以以在线下载的应由法定代表人签字并加盖单位电子公章的《南京市政府采购供应商信用记录表暨信用承诺书》替代。</w:t>
      </w:r>
      <w:r/>
    </w:p>
    <w:p>
      <w:pPr>
        <w:ind w:firstLine="487"/>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供应商如存</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在宁财购通〔2021〕5号规定的</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不得以信用承诺书替代的情形</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的，供应商资格证明文件须提供《中华人民共和国政府采购法》第二十二条规定的（2）-（6）条按要求提供证明材料扫描件加盖电子公章。</w:t>
      </w:r>
      <w:r/>
    </w:p>
    <w:p>
      <w:pPr>
        <w:jc w:val="left"/>
        <w:spacing w:line="360" w:lineRule="auto"/>
        <w:shd w:val="clear" w:color="auto" w:fill="ffffff"/>
        <w:widowControl/>
        <w:rPr>
          <w:rStyle w:val="1178"/>
          <w:rFonts w:hint="default" w:ascii="Times New Roman" w:hAnsi="Times New Roman" w:cs="Times New Roman"/>
          <w:color w:val="000000" w:themeColor="text1"/>
          <w:highlight w:val="none"/>
          <w14:textFill>
            <w14:solidFill>
              <w14:schemeClr w14:val="tx1"/>
            </w14:solidFill>
          </w14:textFill>
        </w:rPr>
        <w:outlineLvl w:val="1"/>
      </w:pPr>
      <w:r>
        <w:rPr>
          <w:rFonts w:hint="default" w:ascii="Times New Roman" w:hAnsi="Times New Roman" w:eastAsia="仿宋" w:cs="Times New Roman"/>
          <w:color w:val="000000" w:themeColor="text1"/>
          <w:highlight w:val="none"/>
          <w14:textFill>
            <w14:solidFill>
              <w14:schemeClr w14:val="tx1"/>
            </w14:solidFill>
          </w14:textFill>
        </w:rPr>
        <w:br w:type="page" w:clear="all"/>
      </w:r>
      <w:bookmarkStart w:id="176" w:name="_Toc2160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三、</w:t>
      </w:r>
      <w:r>
        <w:rPr>
          <w:rStyle w:val="1178"/>
          <w:rFonts w:hint="default" w:ascii="Times New Roman" w:hAnsi="Times New Roman" w:cs="Times New Roman"/>
          <w:bCs/>
          <w:color w:val="000000" w:themeColor="text1"/>
          <w:szCs w:val="24"/>
          <w:highlight w:val="none"/>
          <w14:textFill>
            <w14:solidFill>
              <w14:schemeClr w14:val="tx1"/>
            </w14:solidFill>
          </w14:textFill>
        </w:rPr>
        <w:t xml:space="preserve">综合评审评分项</w:t>
      </w:r>
      <w:bookmarkEnd w:id="176"/>
      <w:r/>
      <w:r/>
    </w:p>
    <w:p>
      <w:pPr>
        <w:spacing w:line="360" w:lineRule="auto"/>
        <w:rPr>
          <w:rStyle w:val="1178"/>
          <w:rFonts w:hint="default" w:ascii="Times New Roman" w:hAnsi="Times New Roman" w:cs="Times New Roman"/>
          <w:color w:val="000000" w:themeColor="text1"/>
          <w:highlight w:val="none"/>
          <w14:textFill>
            <w14:solidFill>
              <w14:schemeClr w14:val="tx1"/>
            </w14:solidFill>
          </w14:textFill>
        </w:rPr>
      </w:pPr>
      <w:r/>
      <w:bookmarkStart w:id="177" w:name="_Toc11187"/>
      <w:r/>
      <w:bookmarkStart w:id="178" w:name="_Toc24265"/>
      <w:r/>
      <w:bookmarkStart w:id="179" w:name="_Toc32704"/>
      <w:r/>
      <w:bookmarkStart w:id="180" w:name="_Toc5779"/>
      <w:r/>
      <w:bookmarkStart w:id="181" w:name="_Toc14265"/>
      <w:r/>
      <w:bookmarkStart w:id="182" w:name="_Toc23988"/>
      <w:r/>
      <w:bookmarkStart w:id="183" w:name="_Toc30321"/>
      <w:r/>
      <w:bookmarkStart w:id="184" w:name="_Toc10501"/>
      <w:r/>
      <w:bookmarkStart w:id="185" w:name="_Toc27566"/>
      <w:r/>
      <w:bookmarkStart w:id="186" w:name="_Toc9155"/>
      <w:r/>
      <w:bookmarkStart w:id="187" w:name="_Toc27955"/>
      <w:r/>
      <w:bookmarkStart w:id="188" w:name="_Toc4064"/>
      <w:r>
        <w:rPr>
          <w:rStyle w:val="1178"/>
          <w:rFonts w:hint="default" w:ascii="Times New Roman" w:hAnsi="Times New Roman" w:cs="Times New Roman"/>
          <w:color w:val="000000" w:themeColor="text1"/>
          <w:highlight w:val="none"/>
          <w14:textFill>
            <w14:solidFill>
              <w14:schemeClr w14:val="tx1"/>
            </w14:solidFill>
          </w14:textFill>
        </w:rPr>
        <w:t xml:space="preserve">（注：详见第三章 评标标准。）</w:t>
      </w:r>
      <w:bookmarkEnd w:id="177"/>
      <w:r/>
      <w:bookmarkEnd w:id="178"/>
      <w:r/>
      <w:bookmarkEnd w:id="179"/>
      <w:r/>
      <w:bookmarkEnd w:id="180"/>
      <w:r/>
      <w:bookmarkEnd w:id="181"/>
      <w:bookmarkEnd w:id="182"/>
      <w:bookmarkEnd w:id="183"/>
      <w:bookmarkEnd w:id="184"/>
      <w:r/>
    </w:p>
    <w:p>
      <w:pPr>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bookmarkStart w:id="189" w:name="_Toc24497"/>
      <w:r>
        <w:rPr>
          <w:rFonts w:hint="default" w:ascii="Times New Roman" w:hAnsi="Times New Roman" w:eastAsia="仿宋" w:cs="Times New Roman"/>
          <w:b/>
          <w:bCs/>
          <w:color w:val="000000" w:themeColor="text1"/>
          <w:sz w:val="24"/>
          <w:szCs w:val="22"/>
          <w:highlight w:val="none"/>
          <w14:textFill>
            <w14:solidFill>
              <w14:schemeClr w14:val="tx1"/>
            </w14:solidFill>
          </w14:textFill>
        </w:rPr>
        <w:br w:type="page" w:clear="all"/>
      </w:r>
      <w:r/>
    </w:p>
    <w:p>
      <w:pPr>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1"/>
      </w:pPr>
      <w:r/>
      <w:bookmarkStart w:id="190" w:name="_Toc2362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四、价格折扣文件格式</w:t>
      </w:r>
      <w:bookmarkEnd w:id="189"/>
      <w:r/>
      <w:bookmarkEnd w:id="190"/>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191" w:name="_Toc28117"/>
      <w:r/>
      <w:bookmarkStart w:id="192" w:name="_Toc22073"/>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1.中小企业声明函</w:t>
      </w:r>
      <w:bookmarkEnd w:id="191"/>
      <w:r/>
      <w:bookmarkEnd w:id="192"/>
      <w:r/>
      <w:r/>
    </w:p>
    <w:p>
      <w:pPr>
        <w:ind w:firstLine="602"/>
        <w:jc w:val="center"/>
        <w:spacing w:line="360" w:lineRule="auto"/>
        <w:rPr>
          <w:rFonts w:hint="default" w:ascii="Times New Roman" w:hAnsi="Times New Roman" w:eastAsia="仿宋" w:cs="Times New Roman"/>
          <w:b/>
          <w:bCs/>
          <w:color w:val="000000" w:themeColor="text1"/>
          <w:sz w:val="30"/>
          <w:szCs w:val="30"/>
          <w:highlight w:val="none"/>
          <w14:textFill>
            <w14:solidFill>
              <w14:schemeClr w14:val="tx1"/>
            </w14:solidFill>
          </w14:textFill>
        </w:rPr>
      </w:pPr>
      <w:r>
        <w:rPr>
          <w:rFonts w:hint="default" w:ascii="Times New Roman" w:hAnsi="Times New Roman" w:eastAsia="仿宋" w:cs="Times New Roman"/>
          <w:b/>
          <w:bCs/>
          <w:color w:val="000000" w:themeColor="text1"/>
          <w:sz w:val="30"/>
          <w:szCs w:val="30"/>
          <w:highlight w:val="none"/>
          <w14:textFill>
            <w14:solidFill>
              <w14:schemeClr w14:val="tx1"/>
            </w14:solidFill>
          </w14:textFill>
        </w:rPr>
        <w:t xml:space="preserve">中小企业声明函（服务）</w:t>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本公司郑重声明，根据《政府采购促进中小企业发展管理办法》（财库〔2020〕46号）的规定，本公司参加</w:t>
      </w:r>
      <w:r>
        <w:rPr>
          <w:rFonts w:hint="default" w:ascii="Times New Roman" w:hAnsi="Times New Roman" w:eastAsia="仿宋" w:cs="Times New Roman"/>
          <w:color w:val="000000" w:themeColor="text1"/>
          <w:sz w:val="24"/>
          <w:szCs w:val="22"/>
          <w:highlight w:val="none"/>
          <w:u w:val="single"/>
          <w14:textFill>
            <w14:solidFill>
              <w14:schemeClr w14:val="tx1"/>
            </w14:solidFill>
          </w14:textFill>
        </w:rPr>
        <w:t xml:space="preserve">南京市雨花台区机关事务管理服务中心</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的</w:t>
      </w:r>
      <w:r>
        <w:rPr>
          <w:rFonts w:hint="eastAsia" w:eastAsia="仿宋" w:cs="Times New Roman"/>
          <w:color w:val="000000" w:themeColor="text1"/>
          <w:sz w:val="24"/>
          <w:szCs w:val="22"/>
          <w:highlight w:val="none"/>
          <w:u w:val="single"/>
          <w:lang w:eastAsia="zh-CN"/>
          <w14:textFill>
            <w14:solidFill>
              <w14:schemeClr w14:val="tx1"/>
            </w14:solidFill>
          </w14:textFill>
        </w:rPr>
        <w:tab/>
      </w:r>
      <w:r>
        <w:rPr>
          <w:rFonts w:hint="eastAsia" w:eastAsia="仿宋" w:cs="Times New Roman"/>
          <w:color w:val="000000" w:themeColor="text1"/>
          <w:sz w:val="24"/>
          <w:szCs w:val="22"/>
          <w:highlight w:val="none"/>
          <w:u w:val="single"/>
          <w:lang w:eastAsia="zh-CN"/>
          <w14:textFill>
            <w14:solidFill>
              <w14:schemeClr w14:val="tx1"/>
            </w14:solidFill>
          </w14:textFill>
        </w:rPr>
        <w:t xml:space="preserve">南京市雨花台区机关事务管理服务中心食材供应（水产）及配送服务项目</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采购活动，服务全部由符合政策要求的中小企业承接。相关企业的具体情况如下：</w:t>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eastAsia" w:eastAsia="仿宋" w:cs="Times New Roman"/>
          <w:color w:val="000000" w:themeColor="text1"/>
          <w:sz w:val="24"/>
          <w:szCs w:val="22"/>
          <w:highlight w:val="none"/>
          <w:u w:val="single"/>
          <w:lang w:eastAsia="zh-CN"/>
          <w14:textFill>
            <w14:solidFill>
              <w14:schemeClr w14:val="tx1"/>
            </w14:solidFill>
          </w14:textFill>
        </w:rPr>
        <w:tab/>
      </w:r>
      <w:r>
        <w:rPr>
          <w:rFonts w:hint="eastAsia" w:eastAsia="仿宋" w:cs="Times New Roman"/>
          <w:color w:val="000000" w:themeColor="text1"/>
          <w:sz w:val="24"/>
          <w:szCs w:val="22"/>
          <w:highlight w:val="none"/>
          <w:u w:val="single"/>
          <w:lang w:eastAsia="zh-CN"/>
          <w14:textFill>
            <w14:solidFill>
              <w14:schemeClr w14:val="tx1"/>
            </w14:solidFill>
          </w14:textFill>
        </w:rPr>
        <w:t xml:space="preserve">南京市雨花台区机关事务管理服务中心食材供应（水产）及配送服务项目</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属于</w:t>
      </w:r>
      <w:r>
        <w:rPr>
          <w:rFonts w:hint="default" w:ascii="Times New Roman" w:hAnsi="Times New Roman" w:eastAsia="仿宋" w:cs="Times New Roman"/>
          <w:color w:val="000000" w:themeColor="text1"/>
          <w:sz w:val="24"/>
          <w:szCs w:val="22"/>
          <w:highlight w:val="none"/>
          <w:u w:val="single"/>
          <w14:textFill>
            <w14:solidFill>
              <w14:schemeClr w14:val="tx1"/>
            </w14:solidFill>
          </w14:textFill>
        </w:rPr>
        <w:t xml:space="preserve">批发业</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。承接企业为 （企业名称）,从业人员 </w:t>
      </w:r>
      <w:r>
        <w:rPr>
          <w:rFonts w:hint="default" w:ascii="Times New Roman" w:hAnsi="Times New Roman" w:eastAsia="仿宋" w:cs="Times New Roman"/>
          <w:color w:val="000000" w:themeColor="text1"/>
          <w:sz w:val="24"/>
          <w:szCs w:val="22"/>
          <w:highlight w:val="none"/>
          <w:u w:val="single"/>
          <w14:textFill>
            <w14:solidFill>
              <w14:schemeClr w14:val="tx1"/>
            </w14:solidFill>
          </w14:textFill>
        </w:rPr>
        <w:tab/>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人，营业收入为万元，资产总额为万元，属于</w:t>
      </w:r>
      <w:r>
        <w:rPr>
          <w:rFonts w:hint="default" w:ascii="Times New Roman" w:hAnsi="Times New Roman" w:eastAsia="仿宋" w:cs="Times New Roman"/>
          <w:color w:val="000000" w:themeColor="text1"/>
          <w:sz w:val="24"/>
          <w:szCs w:val="22"/>
          <w:highlight w:val="none"/>
          <w:u w:val="single"/>
          <w14:textFill>
            <w14:solidFill>
              <w14:schemeClr w14:val="tx1"/>
            </w14:solidFill>
          </w14:textFill>
        </w:rPr>
        <w:t xml:space="preserve">（中型企业、小型企业、微型企业）</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本企业对上述声明内容的真实性负责。如有虚假，将依法承担相应责任。</w:t>
      </w:r>
      <w:r/>
    </w:p>
    <w:p>
      <w:pPr>
        <w:ind w:firstLine="480"/>
        <w:jc w:val="right"/>
        <w:spacing w:line="360" w:lineRule="auto"/>
        <w:rPr>
          <w:rFonts w:hint="default" w:ascii="Times New Roman" w:hAnsi="Times New Roman" w:eastAsia="仿宋" w:cs="Times New Roman"/>
          <w:color w:val="000000" w:themeColor="text1"/>
          <w:sz w:val="24"/>
          <w:szCs w:val="22"/>
          <w:highlight w:val="none"/>
          <w:u w:val="singl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企业名称:（</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w:t>
      </w:r>
      <w:r/>
    </w:p>
    <w:p>
      <w:pPr>
        <w:ind w:firstLine="480"/>
        <w:jc w:val="right"/>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日期：  年  月  日</w:t>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ab/>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注：从业人员、营业收入、资产总额填报上一年度数据，无上一年度数据的新成立企业可不填报。</w:t>
      </w:r>
      <w:r/>
    </w:p>
    <w:p>
      <w:pPr>
        <w:ind w:firstLine="560"/>
        <w:spacing w:line="479" w:lineRule="atLeast"/>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60"/>
        <w:spacing w:line="479" w:lineRule="atLeast"/>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60"/>
        <w:spacing w:line="479" w:lineRule="atLeast"/>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60"/>
        <w:spacing w:line="479" w:lineRule="atLeast"/>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60"/>
        <w:spacing w:line="479" w:lineRule="atLeast"/>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备注：</w:t>
      </w:r>
      <w:r/>
    </w:p>
    <w:p>
      <w:pPr>
        <w:ind w:firstLine="560"/>
        <w:spacing w:line="479" w:lineRule="atLeast"/>
        <w:rPr>
          <w:rFonts w:hint="default" w:ascii="Times New Roman" w:hAnsi="Times New Roman" w:eastAsia="仿宋"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rPr>
          <w:rFonts w:hint="default" w:ascii="Times New Roman" w:hAnsi="Times New Roman" w:eastAsia="仿宋" w:cs="Times New Roman"/>
          <w:b/>
          <w:bCs/>
          <w:color w:val="000000" w:themeColor="text1"/>
          <w:sz w:val="22"/>
          <w:highlight w:val="none"/>
          <w14:textFill>
            <w14:solidFill>
              <w14:schemeClr w14:val="tx1"/>
            </w14:solidFill>
          </w14:textFill>
        </w:rPr>
      </w:pPr>
      <w:r>
        <w:rPr>
          <w:rFonts w:hint="default" w:ascii="Times New Roman" w:hAnsi="Times New Roman" w:eastAsia="仿宋" w:cs="Times New Roman"/>
          <w:b/>
          <w:bCs/>
          <w:color w:val="000000" w:themeColor="text1"/>
          <w:sz w:val="22"/>
          <w:highlight w:val="none"/>
          <w14:textFill>
            <w14:solidFill>
              <w14:schemeClr w14:val="tx1"/>
            </w14:solidFill>
          </w14:textFill>
        </w:rPr>
        <w:br w:type="page" w:clear="all"/>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193" w:name="_Toc16970"/>
      <w:r/>
      <w:bookmarkStart w:id="194" w:name="_Toc15138"/>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2.残疾人福利性单位声明函</w:t>
      </w:r>
      <w:bookmarkEnd w:id="193"/>
      <w:r/>
      <w:bookmarkEnd w:id="194"/>
      <w:r/>
      <w:r/>
    </w:p>
    <w:p>
      <w:pPr>
        <w:ind w:firstLine="602"/>
        <w:jc w:val="center"/>
        <w:spacing w:line="360" w:lineRule="auto"/>
        <w:rPr>
          <w:rFonts w:hint="default" w:ascii="Times New Roman" w:hAnsi="Times New Roman" w:eastAsia="仿宋" w:cs="Times New Roman"/>
          <w:b/>
          <w:bCs/>
          <w:color w:val="000000" w:themeColor="text1"/>
          <w:sz w:val="30"/>
          <w:szCs w:val="30"/>
          <w:highlight w:val="none"/>
          <w14:textFill>
            <w14:solidFill>
              <w14:schemeClr w14:val="tx1"/>
            </w14:solidFill>
          </w14:textFill>
        </w:rPr>
      </w:pPr>
      <w:r>
        <w:rPr>
          <w:rFonts w:hint="default" w:ascii="Times New Roman" w:hAnsi="Times New Roman" w:eastAsia="仿宋" w:cs="Times New Roman"/>
          <w:b/>
          <w:bCs/>
          <w:color w:val="000000" w:themeColor="text1"/>
          <w:sz w:val="30"/>
          <w:szCs w:val="30"/>
          <w:highlight w:val="none"/>
          <w14:textFill>
            <w14:solidFill>
              <w14:schemeClr w14:val="tx1"/>
            </w14:solidFill>
          </w14:textFill>
        </w:rPr>
        <w:t xml:space="preserve">残疾人福利性单位声明函</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136"/>
        <w:jc w:val="left"/>
        <w:spacing w:line="440" w:lineRule="exact"/>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4066"/>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供应商名称（加盖电子公章）：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ind w:firstLine="4066"/>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    期：   年    月    日</w:t>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195" w:name="_Toc367"/>
      <w:r/>
      <w:bookmarkStart w:id="196" w:name="_Toc8717"/>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3.属于监狱企业的证明文件</w:t>
      </w:r>
      <w:bookmarkEnd w:id="195"/>
      <w:r/>
      <w:bookmarkEnd w:id="196"/>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197" w:name="_Toc7692"/>
      <w:r/>
      <w:bookmarkStart w:id="198" w:name="_Toc18273"/>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4.节能产品认证证书</w:t>
      </w:r>
      <w:bookmarkEnd w:id="197"/>
      <w:r/>
      <w:bookmarkEnd w:id="198"/>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199" w:name="_Toc174"/>
      <w:r/>
      <w:bookmarkStart w:id="200" w:name="_Toc681"/>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5.环境标志产品认证证书</w:t>
      </w:r>
      <w:bookmarkEnd w:id="199"/>
      <w:r/>
      <w:bookmarkEnd w:id="200"/>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01" w:name="_Toc29262"/>
      <w:r/>
      <w:bookmarkStart w:id="202" w:name="_Toc3001"/>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6.进口产品转让技术、消化吸收再创新方案</w:t>
      </w:r>
      <w:bookmarkEnd w:id="201"/>
      <w:r/>
      <w:bookmarkEnd w:id="202"/>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（对于允许进口产品参加的项目）</w:t>
      </w:r>
      <w:r/>
    </w:p>
    <w:p>
      <w:pPr>
        <w:spacing w:line="360" w:lineRule="auto"/>
        <w:rPr>
          <w:rStyle w:val="1178"/>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bookmarkEnd w:id="185"/>
      <w:bookmarkEnd w:id="186"/>
      <w:bookmarkEnd w:id="187"/>
      <w:bookmarkEnd w:id="188"/>
      <w:r/>
    </w:p>
    <w:p>
      <w:pPr>
        <w:jc w:val="left"/>
        <w:spacing w:line="360" w:lineRule="auto"/>
        <w:shd w:val="clear" w:color="auto" w:fill="ffffff"/>
        <w:widowControl/>
        <w:rPr>
          <w:rStyle w:val="1178"/>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1"/>
      </w:pPr>
      <w:r/>
      <w:bookmarkStart w:id="203" w:name="_Toc18883"/>
      <w:r/>
      <w:bookmarkStart w:id="204" w:name="_Toc18439"/>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五、附件</w:t>
      </w:r>
      <w:bookmarkEnd w:id="203"/>
      <w:r/>
      <w:bookmarkEnd w:id="204"/>
      <w:r/>
      <w:r/>
    </w:p>
    <w:p>
      <w:pPr>
        <w:spacing w:after="240" w:line="360" w:lineRule="auto"/>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205" w:name="_Toc32125"/>
      <w:r/>
      <w:bookmarkStart w:id="206" w:name="_Toc279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附件一、拟参与本项目服务人员一览表</w:t>
      </w:r>
      <w:bookmarkEnd w:id="205"/>
      <w:r/>
      <w:bookmarkEnd w:id="206"/>
      <w:r/>
      <w:r/>
    </w:p>
    <w:p>
      <w:pPr>
        <w:jc w:val="center"/>
        <w:widowControl/>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07" w:name="_Toc31460"/>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拟参与本项目服务人员一览表</w:t>
      </w:r>
      <w:bookmarkEnd w:id="207"/>
      <w:r/>
      <w:r/>
    </w:p>
    <w:p>
      <w:pPr>
        <w:jc w:val="center"/>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p>
      <w:pP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                                 </w:t>
      </w:r>
      <w:r/>
    </w:p>
    <w:p>
      <w:pP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w:t>
      </w:r>
      <w:r/>
    </w:p>
    <w:tbl>
      <w:tblPr>
        <w:tblStyle w:val="79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执业</w:t>
            </w:r>
            <w:r/>
          </w:p>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bookmarkStart w:id="208" w:name="_Toc21996"/>
      <w:r/>
      <w:bookmarkStart w:id="209" w:name="_Toc1934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附件二、投标人类似业绩情况表</w:t>
      </w:r>
      <w:bookmarkEnd w:id="208"/>
      <w:r/>
      <w:bookmarkEnd w:id="209"/>
      <w:r/>
      <w:r/>
    </w:p>
    <w:p>
      <w:pPr>
        <w:jc w:val="center"/>
        <w:spacing w:line="360" w:lineRule="auto"/>
        <w:widowControl/>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10" w:name="_Toc8537"/>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投标人类似业绩情况表</w:t>
      </w:r>
      <w:bookmarkEnd w:id="210"/>
      <w:r/>
      <w:r/>
    </w:p>
    <w:tbl>
      <w:tblPr>
        <w:tblStyle w:val="79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项目</w:t>
            </w:r>
            <w:r/>
          </w:p>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获奖</w:t>
            </w:r>
            <w:r/>
          </w:p>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签约及服务</w:t>
            </w:r>
            <w:r/>
          </w:p>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spacing w:line="360" w:lineRule="auto"/>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w:t>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1.如果行数不够，请自行增加。</w:t>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2.所有业绩均需要提供有效的复印件（扫描件）。</w:t>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jc w:val="left"/>
        <w:widowControl/>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br w:type="page" w:clear="all"/>
      </w:r>
      <w:r/>
    </w:p>
    <w:p>
      <w:pPr>
        <w:spacing w:after="240" w:line="360" w:lineRule="auto"/>
        <w:rPr>
          <w:rFonts w:hint="default" w:ascii="Times New Roman" w:hAnsi="Times New Roman" w:eastAsia="仿宋" w:cs="Times New Roman"/>
          <w:b/>
          <w:color w:val="000000" w:themeColor="text1"/>
          <w:sz w:val="24"/>
          <w:highlight w:val="none"/>
          <w14:textFill>
            <w14:solidFill>
              <w14:schemeClr w14:val="tx1"/>
            </w14:solidFill>
          </w14:textFill>
        </w:rPr>
        <w:outlineLvl w:val="2"/>
      </w:pPr>
      <w:r/>
      <w:bookmarkStart w:id="211" w:name="_Toc19481"/>
      <w:r/>
      <w:bookmarkStart w:id="212" w:name="_Toc2941"/>
      <w:r>
        <w:rPr>
          <w:rFonts w:hint="default" w:ascii="Times New Roman" w:hAnsi="Times New Roman" w:eastAsia="仿宋" w:cs="Times New Roman"/>
          <w:b/>
          <w:color w:val="000000" w:themeColor="text1"/>
          <w:sz w:val="24"/>
          <w:highlight w:val="none"/>
          <w14:textFill>
            <w14:solidFill>
              <w14:schemeClr w14:val="tx1"/>
            </w14:solidFill>
          </w14:textFill>
        </w:rPr>
        <w:t xml:space="preserve">附件三、无重大违法记录声明格式</w:t>
      </w:r>
      <w:bookmarkEnd w:id="211"/>
      <w:r/>
      <w:bookmarkEnd w:id="212"/>
      <w:r/>
      <w:r/>
    </w:p>
    <w:p>
      <w:pPr>
        <w:jc w:val="center"/>
        <w:spacing w:line="240" w:lineRule="atLeast"/>
        <w:rPr>
          <w:rFonts w:hint="default" w:ascii="Times New Roman" w:hAnsi="Times New Roman" w:eastAsia="仿宋" w:cs="Times New Roman"/>
          <w:color w:val="000000" w:themeColor="text1"/>
          <w:sz w:val="28"/>
          <w:szCs w:val="36"/>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无重大违法记录声明</w:t>
      </w:r>
      <w:r/>
    </w:p>
    <w:p>
      <w:pPr>
        <w:spacing w:line="360" w:lineRule="auto"/>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南京市雨花台区机关事务管理服务中心</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 （供应商名称）郑重声明：</w:t>
      </w:r>
      <w:r/>
    </w:p>
    <w:p>
      <w:pPr>
        <w:ind w:firstLine="480"/>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我单位参加政府采购活动前3年内在经营活动中（</w:t>
      </w:r>
      <w:r>
        <w:rPr>
          <w:rFonts w:hint="default" w:ascii="Times New Roman" w:hAnsi="Times New Roman" w:eastAsia="仿宋" w:cs="Times New Roman"/>
          <w:b/>
          <w:i/>
          <w:color w:val="000000" w:themeColor="text1"/>
          <w:sz w:val="24"/>
          <w:highlight w:val="none"/>
          <w:u w:val="single"/>
          <w14:textFill>
            <w14:solidFill>
              <w14:schemeClr w14:val="tx1"/>
            </w14:solidFill>
          </w14:textFill>
        </w:rPr>
        <w:t xml:space="preserve">在下划线上如实填写：有或没有</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重大违法记录，且不是失信被执行人、重大税收违法案件当事人名单、政府采购严重违法失信行为记录名单的供应商。</w:t>
      </w:r>
      <w:r/>
    </w:p>
    <w:p>
      <w:pPr>
        <w:ind w:firstLine="42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315"/>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103"/>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声明人：（加盖电子公章）</w:t>
      </w:r>
      <w:r/>
    </w:p>
    <w:p>
      <w:pPr>
        <w:keepNext/>
        <w:spacing w:after="240" w:line="360" w:lineRule="auto"/>
        <w:tabs>
          <w:tab w:val="left" w:pos="1440" w:leader="none"/>
          <w:tab w:val="left" w:pos="5670" w:leader="none"/>
        </w:tabs>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日期：年月</w:t>
      </w:r>
      <w:r>
        <w:rPr>
          <w:rFonts w:hint="default" w:ascii="Times New Roman" w:hAnsi="Times New Roman" w:eastAsia="仿宋" w:cs="Times New Roman"/>
          <w:color w:val="000000" w:themeColor="text1"/>
          <w:sz w:val="24"/>
          <w:highlight w:val="none"/>
          <w14:textFill>
            <w14:solidFill>
              <w14:schemeClr w14:val="tx1"/>
            </w14:solidFill>
          </w14:textFill>
        </w:rPr>
        <w:t xml:space="preserve">  日</w:t>
      </w:r>
      <w:r/>
    </w:p>
    <w:p>
      <w:pPr>
        <w:keepNext/>
        <w:spacing w:after="240" w:line="360" w:lineRule="auto"/>
        <w:tabs>
          <w:tab w:val="left" w:pos="1440" w:leader="none"/>
          <w:tab w:val="left" w:pos="5670" w:leader="none"/>
        </w:tabs>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color w:val="000000" w:themeColor="text1"/>
          <w:sz w:val="24"/>
          <w:highlight w:val="none"/>
          <w:lang w:val="zh-CN"/>
          <w14:textFill>
            <w14:solidFill>
              <w14:schemeClr w14:val="tx1"/>
            </w14:solidFill>
          </w14:textFill>
        </w:rPr>
        <w:br w:type="page" w:clear="all"/>
      </w:r>
      <w:bookmarkStart w:id="213" w:name="_Toc16688"/>
      <w:r/>
      <w:bookmarkStart w:id="214" w:name="_Toc6231"/>
      <w:r/>
      <w:bookmarkStart w:id="215" w:name="_Toc20260"/>
      <w:r/>
      <w:bookmarkStart w:id="216" w:name="_Toc3976"/>
      <w:r/>
      <w:bookmarkStart w:id="217" w:name="_Toc2798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附件四、具备履行合同所必需的设备和专业技术能力的声明格式</w:t>
      </w:r>
      <w:bookmarkEnd w:id="213"/>
      <w:r/>
      <w:bookmarkEnd w:id="214"/>
      <w:r/>
      <w:bookmarkEnd w:id="215"/>
      <w:r/>
      <w:bookmarkEnd w:id="216"/>
      <w:r/>
      <w:bookmarkEnd w:id="217"/>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18" w:name="_Toc485"/>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具备履行合同所必需的设备和专业技术能力的声明</w:t>
      </w:r>
      <w:bookmarkEnd w:id="218"/>
      <w:r/>
      <w:r/>
    </w:p>
    <w:p>
      <w:pPr>
        <w:spacing w:line="360" w:lineRule="auto"/>
        <w:rPr>
          <w:rFonts w:hint="default" w:ascii="Times New Roman" w:hAnsi="Times New Roman" w:eastAsia="仿宋" w:cs="Times New Roman"/>
          <w:b/>
          <w:color w:val="000000" w:themeColor="text1"/>
          <w:sz w:val="24"/>
          <w:szCs w:val="21"/>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南京市雨花台区机关事务管理服务中心</w:t>
      </w:r>
      <w:r>
        <w:rPr>
          <w:rFonts w:hint="default" w:ascii="Times New Roman" w:hAnsi="Times New Roman" w:eastAsia="仿宋" w:cs="Times New Roman"/>
          <w:b/>
          <w:color w:val="000000" w:themeColor="text1"/>
          <w:sz w:val="24"/>
          <w:szCs w:val="21"/>
          <w:highlight w:val="none"/>
          <w:lang w:val="zh-CN"/>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主要设备有： 。（ 若有 ）</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主要专业技术能力有：  。（ 若有 ）</w:t>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right"/>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声明人：（加盖电子公章）</w:t>
      </w:r>
      <w:r/>
    </w:p>
    <w:p>
      <w:pPr>
        <w:jc w:val="right"/>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日期： 年   月   日</w:t>
      </w:r>
      <w:r/>
    </w:p>
    <w:p>
      <w:pPr>
        <w:rPr>
          <w:rFonts w:hint="default" w:ascii="Times New Roman" w:hAnsi="Times New Roman" w:eastAsia="仿宋" w:cs="Times New Roman"/>
          <w:color w:val="000000" w:themeColor="text1"/>
          <w:sz w:val="24"/>
          <w:highlight w:val="none"/>
          <w:lang w:val="zh-CN"/>
          <w14:textFill>
            <w14:solidFill>
              <w14:schemeClr w14:val="tx1"/>
            </w14:solidFill>
          </w14:textFill>
        </w:rPr>
      </w:pPr>
      <w:r/>
      <w:bookmarkStart w:id="219" w:name="_Toc20475"/>
      <w:r/>
      <w:bookmarkStart w:id="220" w:name="_Toc8905"/>
      <w:r/>
      <w:bookmarkStart w:id="221" w:name="_Toc24407"/>
      <w:r/>
      <w:bookmarkStart w:id="222" w:name="_Toc17077"/>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r/>
    </w:p>
    <w:p>
      <w:pPr>
        <w:pStyle w:val="785"/>
        <w:keepLines w:val="0"/>
        <w:spacing w:before="0" w:after="240" w:line="360" w:lineRule="auto"/>
        <w:tabs>
          <w:tab w:val="left" w:pos="1440" w:leader="none"/>
          <w:tab w:val="left" w:pos="5670" w:leader="none"/>
        </w:tabs>
        <w:rPr>
          <w:rFonts w:hint="default" w:ascii="Times New Roman" w:hAnsi="Times New Roman" w:eastAsia="仿宋" w:cs="Times New Roman"/>
          <w:color w:val="000000" w:themeColor="text1"/>
          <w:sz w:val="24"/>
          <w:szCs w:val="24"/>
          <w:highlight w:val="none"/>
          <w:lang w:val="zh-CN"/>
          <w14:textFill>
            <w14:solidFill>
              <w14:schemeClr w14:val="tx1"/>
            </w14:solidFill>
          </w14:textFill>
        </w:rPr>
      </w:pPr>
      <w:r/>
      <w:bookmarkStart w:id="223" w:name="_Toc23202"/>
      <w:r/>
      <w:bookmarkStart w:id="224" w:name="_Toc14299"/>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附件五</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 xml:space="preserve">、南京市政府采购供应商信用记录表暨信用承诺书</w:t>
      </w:r>
      <w:bookmarkEnd w:id="219"/>
      <w:r/>
      <w:bookmarkEnd w:id="220"/>
      <w:r/>
      <w:bookmarkEnd w:id="221"/>
      <w:r/>
      <w:bookmarkEnd w:id="222"/>
      <w:r/>
      <w:bookmarkEnd w:id="223"/>
      <w:r/>
      <w:bookmarkEnd w:id="224"/>
      <w:r/>
      <w:r/>
    </w:p>
    <w:p>
      <w:pPr>
        <w:pStyle w:val="841"/>
        <w:ind w:firstLine="0"/>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25" w:name="_Toc19773"/>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南京市政府采购供应商信用记录表暨信用承诺书</w:t>
      </w:r>
      <w:bookmarkEnd w:id="225"/>
      <w:r/>
      <w:r/>
    </w:p>
    <w:p>
      <w:pPr>
        <w:jc w:val="center"/>
        <w:spacing w:line="360" w:lineRule="auto"/>
        <w:shd w:val="clear" w:color="auto" w:fill="eeece1" w:themeFill="background2"/>
        <w:rPr>
          <w:rFonts w:hint="default" w:ascii="Times New Roman" w:hAnsi="Times New Roman" w:eastAsia="仿宋" w:cs="Times New Roman"/>
          <w:color w:val="000000" w:themeColor="text1"/>
          <w:sz w:val="20"/>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20  年  月  日</w:t>
      </w:r>
      <w:r/>
    </w:p>
    <w:tbl>
      <w:tblPr>
        <w:tblStyle w:val="793"/>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我公司自愿参加贵中心（公司）组织的本次采购活动，严格遵守《中华人民政府采购法》及相关</w:t>
            </w:r>
            <w:r>
              <w:rPr>
                <w:rFonts w:hint="default" w:ascii="Times New Roman" w:hAnsi="Times New Roman" w:eastAsia="仿宋" w:cs="Times New Roman"/>
                <w:color w:val="000000" w:themeColor="text1"/>
                <w:sz w:val="24"/>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供应商名称（公章）：</w:t>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法定代表人（签字）：</w:t>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二〇   年  月    日</w:t>
            </w:r>
            <w:r/>
          </w:p>
        </w:tc>
      </w:tr>
    </w:tbl>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41"/>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41"/>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特别说明：</w:t>
      </w:r>
      <w:r/>
    </w:p>
    <w:p>
      <w:pPr>
        <w:pStyle w:val="841"/>
        <w:ind w:firstLine="482"/>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根据《关于在政府采购活动中推行信用承诺制的通知》（宁财购通〔2021〕5号）的规定，本项目投标邀请中“二、申请人的资格要求 2.1条”及“二、申请人的资格要求 2.10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lang w:val="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lang w:val="zh-CN"/>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841"/>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ind w:firstLine="5040"/>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p>
      <w:pPr>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jc w:val="left"/>
        <w:tabs>
          <w:tab w:val="left" w:pos="5067" w:leader="none"/>
        </w:tabs>
        <w:rPr>
          <w:rFonts w:hint="default"/>
          <w:lang w:val="en-US" w:eastAsia="zh-CN"/>
        </w:rPr>
      </w:pPr>
      <w:r>
        <w:rPr>
          <w:rFonts w:hint="eastAsia"/>
          <w:lang w:val="en-US" w:eastAsia="zh-CN"/>
        </w:rPr>
        <w:tab/>
      </w:r>
      <w:r/>
    </w:p>
    <w:sectPr>
      <w:headerReference w:type="default" r:id="rId10"/>
      <w:footerReference w:type="default" r:id="rId13"/>
      <w:footerReference w:type="first" r:id="rId14"/>
      <w:footnotePr/>
      <w:endnotePr/>
      <w:type w:val="nextPage"/>
      <w:pgSz w:w="11906" w:h="16838" w:orient="portrait"/>
      <w:pgMar w:top="1440" w:right="1797" w:bottom="1440" w:left="1599" w:header="851" w:footer="10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49</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49</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Fonts w:hint="eastAsia" w:eastAsia="宋体"/>
        <w:color w:val="auto"/>
        <w:sz w:val="18"/>
        <w:szCs w:val="18"/>
        <w:lang w:eastAsia="zh-CN"/>
      </w:rPr>
    </w:pPr>
    <w:r>
      <w:rPr>
        <w:rFonts w:hint="eastAsia" w:eastAsia="仿宋"/>
        <w:bCs/>
        <w:color w:val="auto"/>
        <w:sz w:val="18"/>
        <w:szCs w:val="18"/>
        <w:lang w:eastAsia="zh-CN"/>
      </w:rPr>
      <w:t xml:space="preserve">南京市雨花台区机关事务管理服务中心食材供应（水产）及配送服务项目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Bdr>
        <w:bottom w:val="single" w:color="auto" w:sz="4" w:space="1"/>
      </w:pBdr>
    </w:pPr>
    <w:r>
      <w:rPr>
        <w:rFonts w:hint="eastAsia" w:eastAsia="仿宋"/>
        <w:bCs/>
        <w:color w:val="auto"/>
        <w:sz w:val="18"/>
        <w:szCs w:val="18"/>
        <w:lang w:eastAsia="zh-CN"/>
      </w:rPr>
      <w:t xml:space="preserve">南京市雨花台区机关事务管理服务中心食材供应（水产）及配送服务项目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8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07"/>
      <w:isLgl/>
      <w:suff w:val="tab"/>
      <w:lvlText w:val="%1.%2"/>
      <w:lvlJc w:val="left"/>
      <w:pPr>
        <w:ind w:left="425" w:hanging="425"/>
      </w:pPr>
      <w:rPr>
        <w:rFonts w:hint="eastAsia" w:ascii="Arial Unicode MS" w:hAnsi="Arial Unicode MS" w:eastAsia="微软雅黑"/>
        <w:b/>
        <w:i w:val="0"/>
      </w:rPr>
    </w:lvl>
    <w:lvl w:ilvl="2">
      <w:start w:val="1"/>
      <w:numFmt w:val="decimal"/>
      <w:pStyle w:val="112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783"/>
      <w:isLgl w:val="false"/>
      <w:suff w:val="nothing"/>
      <w:lvlText w:val="第%1章"/>
      <w:lvlJc w:val="left"/>
      <w:pPr>
        <w:ind w:left="0" w:firstLine="0"/>
      </w:pPr>
    </w:lvl>
    <w:lvl w:ilvl="1">
      <w:start w:val="1"/>
      <w:numFmt w:val="none"/>
      <w:pStyle w:val="784"/>
      <w:isLgl w:val="false"/>
      <w:suff w:val="nothing"/>
      <w:lvlText w:val=""/>
      <w:lvlJc w:val="left"/>
      <w:pPr>
        <w:ind w:left="0" w:firstLine="0"/>
      </w:pPr>
    </w:lvl>
    <w:lvl w:ilvl="2">
      <w:start w:val="1"/>
      <w:numFmt w:val="none"/>
      <w:pStyle w:val="785"/>
      <w:isLgl w:val="false"/>
      <w:suff w:val="nothing"/>
      <w:lvlText w:val=""/>
      <w:lvlJc w:val="left"/>
      <w:pPr>
        <w:ind w:left="0" w:firstLine="0"/>
      </w:pPr>
    </w:lvl>
    <w:lvl w:ilvl="3">
      <w:start w:val="1"/>
      <w:numFmt w:val="none"/>
      <w:pStyle w:val="786"/>
      <w:isLgl w:val="false"/>
      <w:suff w:val="nothing"/>
      <w:lvlText w:val=""/>
      <w:lvlJc w:val="left"/>
      <w:pPr>
        <w:ind w:left="0" w:firstLine="0"/>
      </w:pPr>
    </w:lvl>
    <w:lvl w:ilvl="4">
      <w:start w:val="1"/>
      <w:numFmt w:val="none"/>
      <w:pStyle w:val="787"/>
      <w:isLgl w:val="false"/>
      <w:suff w:val="nothing"/>
      <w:lvlText w:val=""/>
      <w:lvlJc w:val="left"/>
      <w:pPr>
        <w:ind w:left="0" w:firstLine="0"/>
      </w:pPr>
    </w:lvl>
    <w:lvl w:ilvl="5">
      <w:start w:val="1"/>
      <w:numFmt w:val="none"/>
      <w:pStyle w:val="788"/>
      <w:isLgl w:val="false"/>
      <w:suff w:val="nothing"/>
      <w:lvlText w:val=""/>
      <w:lvlJc w:val="left"/>
      <w:pPr>
        <w:ind w:left="0" w:firstLine="0"/>
      </w:pPr>
    </w:lvl>
    <w:lvl w:ilvl="6">
      <w:start w:val="1"/>
      <w:numFmt w:val="none"/>
      <w:pStyle w:val="789"/>
      <w:isLgl w:val="false"/>
      <w:suff w:val="nothing"/>
      <w:lvlText w:val=""/>
      <w:lvlJc w:val="left"/>
      <w:pPr>
        <w:ind w:left="0" w:firstLine="0"/>
      </w:pPr>
    </w:lvl>
    <w:lvl w:ilvl="7">
      <w:start w:val="1"/>
      <w:numFmt w:val="none"/>
      <w:pStyle w:val="790"/>
      <w:isLgl w:val="false"/>
      <w:suff w:val="nothing"/>
      <w:lvlText w:val=""/>
      <w:lvlJc w:val="left"/>
      <w:pPr>
        <w:ind w:left="0" w:firstLine="0"/>
      </w:pPr>
    </w:lvl>
    <w:lvl w:ilvl="8">
      <w:start w:val="1"/>
      <w:numFmt w:val="none"/>
      <w:pStyle w:val="791"/>
      <w:isLgl w:val="false"/>
      <w:suff w:val="nothing"/>
      <w:lvlText w:val=""/>
      <w:lvlJc w:val="left"/>
      <w:pPr>
        <w:ind w:left="0" w:firstLine="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0"/>
  </w:num>
  <w:num w:numId="4">
    <w:abstractNumId w:val="1"/>
  </w:num>
  <w:num w:numId="5">
    <w:abstractNumId w:val="11"/>
  </w:num>
  <w:num w:numId="6">
    <w:abstractNumId w:val="8"/>
  </w:num>
  <w:num w:numId="7">
    <w:abstractNumId w:val="0"/>
  </w:num>
  <w:num w:numId="8">
    <w:abstractNumId w:val="3"/>
  </w:num>
  <w:num w:numId="9">
    <w:abstractNumId w:val="2"/>
  </w:num>
  <w:num w:numId="10">
    <w:abstractNumId w:val="9"/>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55"/>
    <w:uiPriority w:val="29"/>
    <w:rPr>
      <w:i/>
    </w:rPr>
  </w:style>
  <w:style w:type="character" w:styleId="40">
    <w:name w:val="Intense Quote Char"/>
    <w:link w:val="857"/>
    <w:uiPriority w:val="30"/>
    <w:rPr>
      <w:i/>
    </w:rPr>
  </w:style>
  <w:style w:type="table" w:styleId="49">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0"/>
    <w:uiPriority w:val="99"/>
    <w:rPr>
      <w:sz w:val="18"/>
    </w:rPr>
  </w:style>
  <w:style w:type="character" w:styleId="178">
    <w:name w:val="Endnote Text Char"/>
    <w:link w:val="811"/>
    <w:uiPriority w:val="99"/>
    <w:rPr>
      <w:sz w:val="20"/>
    </w:rPr>
  </w:style>
  <w:style w:type="paragraph" w:styleId="189">
    <w:name w:val="TOC Heading"/>
    <w:uiPriority w:val="39"/>
    <w:unhideWhenUsed/>
  </w:style>
  <w:style w:type="paragraph" w:styleId="782" w:default="1">
    <w:name w:val="Normal"/>
    <w:next w:val="794"/>
    <w:uiPriority w:val="0"/>
    <w:qFormat/>
    <w:pPr>
      <w:jc w:val="both"/>
      <w:widowControl w:val="off"/>
    </w:pPr>
    <w:rPr>
      <w:rFonts w:ascii="Times New Roman" w:hAnsi="Times New Roman" w:eastAsia="宋体" w:cs="Times New Roman"/>
      <w:sz w:val="21"/>
      <w:szCs w:val="24"/>
      <w:lang w:val="en-US" w:eastAsia="zh-CN" w:bidi="ar-SA"/>
    </w:rPr>
  </w:style>
  <w:style w:type="paragraph" w:styleId="783">
    <w:name w:val="Heading 1"/>
    <w:basedOn w:val="782"/>
    <w:next w:val="782"/>
    <w:link w:val="1178"/>
    <w:uiPriority w:val="0"/>
    <w:qFormat/>
    <w:pPr>
      <w:numPr>
        <w:ilvl w:val="0"/>
        <w:numId w:val="1"/>
      </w:numPr>
      <w:jc w:val="center"/>
      <w:keepLines/>
      <w:keepNext/>
      <w:spacing w:before="340" w:after="330" w:line="578" w:lineRule="auto"/>
      <w:outlineLvl w:val="0"/>
    </w:pPr>
    <w:rPr>
      <w:b/>
      <w:bCs/>
      <w:sz w:val="32"/>
      <w:szCs w:val="44"/>
    </w:rPr>
  </w:style>
  <w:style w:type="paragraph" w:styleId="784">
    <w:name w:val="Heading 2"/>
    <w:basedOn w:val="782"/>
    <w:next w:val="782"/>
    <w:link w:val="100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85">
    <w:name w:val="Heading 3"/>
    <w:basedOn w:val="782"/>
    <w:next w:val="782"/>
    <w:link w:val="1043"/>
    <w:uiPriority w:val="0"/>
    <w:qFormat/>
    <w:pPr>
      <w:numPr>
        <w:ilvl w:val="2"/>
        <w:numId w:val="1"/>
      </w:numPr>
      <w:keepLines/>
      <w:keepNext/>
      <w:spacing w:before="260" w:after="260" w:line="416" w:lineRule="auto"/>
      <w:outlineLvl w:val="2"/>
    </w:pPr>
    <w:rPr>
      <w:b/>
      <w:bCs/>
      <w:sz w:val="32"/>
      <w:szCs w:val="32"/>
    </w:rPr>
  </w:style>
  <w:style w:type="paragraph" w:styleId="786">
    <w:name w:val="Heading 4"/>
    <w:basedOn w:val="782"/>
    <w:next w:val="782"/>
    <w:link w:val="108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87">
    <w:name w:val="Heading 5"/>
    <w:basedOn w:val="782"/>
    <w:next w:val="782"/>
    <w:link w:val="1033"/>
    <w:uiPriority w:val="0"/>
    <w:qFormat/>
    <w:pPr>
      <w:numPr>
        <w:ilvl w:val="4"/>
        <w:numId w:val="1"/>
      </w:numPr>
      <w:keepLines/>
      <w:keepNext/>
      <w:spacing w:before="280" w:after="290" w:line="376" w:lineRule="auto"/>
      <w:outlineLvl w:val="4"/>
    </w:pPr>
    <w:rPr>
      <w:b/>
      <w:bCs/>
      <w:sz w:val="28"/>
      <w:szCs w:val="28"/>
    </w:rPr>
  </w:style>
  <w:style w:type="paragraph" w:styleId="788">
    <w:name w:val="Heading 6"/>
    <w:basedOn w:val="782"/>
    <w:next w:val="782"/>
    <w:link w:val="1019"/>
    <w:uiPriority w:val="0"/>
    <w:qFormat/>
    <w:pPr>
      <w:numPr>
        <w:ilvl w:val="5"/>
        <w:numId w:val="1"/>
      </w:numPr>
      <w:keepLines/>
      <w:keepNext/>
      <w:spacing w:before="240" w:after="64" w:line="320" w:lineRule="auto"/>
      <w:outlineLvl w:val="5"/>
    </w:pPr>
    <w:rPr>
      <w:rFonts w:ascii="Cambria" w:hAnsi="Cambria"/>
      <w:b/>
      <w:bCs/>
      <w:sz w:val="24"/>
    </w:rPr>
  </w:style>
  <w:style w:type="paragraph" w:styleId="789">
    <w:name w:val="Heading 7"/>
    <w:basedOn w:val="782"/>
    <w:next w:val="782"/>
    <w:link w:val="1074"/>
    <w:uiPriority w:val="0"/>
    <w:qFormat/>
    <w:pPr>
      <w:numPr>
        <w:ilvl w:val="6"/>
        <w:numId w:val="1"/>
      </w:numPr>
      <w:keepLines/>
      <w:keepNext/>
      <w:spacing w:before="240" w:after="64" w:line="320" w:lineRule="auto"/>
      <w:outlineLvl w:val="6"/>
    </w:pPr>
    <w:rPr>
      <w:b/>
      <w:bCs/>
      <w:sz w:val="24"/>
    </w:rPr>
  </w:style>
  <w:style w:type="paragraph" w:styleId="790">
    <w:name w:val="Heading 8"/>
    <w:basedOn w:val="782"/>
    <w:next w:val="782"/>
    <w:link w:val="1059"/>
    <w:uiPriority w:val="0"/>
    <w:qFormat/>
    <w:pPr>
      <w:numPr>
        <w:ilvl w:val="7"/>
        <w:numId w:val="1"/>
      </w:numPr>
      <w:keepLines/>
      <w:keepNext/>
      <w:spacing w:before="240" w:after="64" w:line="320" w:lineRule="auto"/>
      <w:outlineLvl w:val="7"/>
    </w:pPr>
    <w:rPr>
      <w:rFonts w:ascii="Cambria" w:hAnsi="Cambria"/>
      <w:sz w:val="24"/>
    </w:rPr>
  </w:style>
  <w:style w:type="paragraph" w:styleId="791">
    <w:name w:val="Heading 9"/>
    <w:basedOn w:val="782"/>
    <w:next w:val="782"/>
    <w:link w:val="1037"/>
    <w:uiPriority w:val="0"/>
    <w:qFormat/>
    <w:pPr>
      <w:numPr>
        <w:ilvl w:val="8"/>
        <w:numId w:val="1"/>
      </w:numPr>
      <w:keepLines/>
      <w:keepNext/>
      <w:spacing w:before="240" w:after="64" w:line="320" w:lineRule="auto"/>
      <w:outlineLvl w:val="8"/>
    </w:pPr>
    <w:rPr>
      <w:rFonts w:ascii="Cambria" w:hAnsi="Cambria"/>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Body Text First Indent 2"/>
    <w:basedOn w:val="795"/>
    <w:uiPriority w:val="99"/>
    <w:qFormat/>
    <w:pPr>
      <w:ind w:firstLine="420"/>
    </w:pPr>
  </w:style>
  <w:style w:type="paragraph" w:styleId="795">
    <w:name w:val="Body Text Indent"/>
    <w:basedOn w:val="782"/>
    <w:next w:val="782"/>
    <w:link w:val="1014"/>
    <w:uiPriority w:val="0"/>
    <w:qFormat/>
    <w:pPr>
      <w:ind w:left="420"/>
      <w:spacing w:after="120"/>
    </w:pPr>
  </w:style>
  <w:style w:type="paragraph" w:styleId="796">
    <w:name w:val="List 3"/>
    <w:basedOn w:val="782"/>
    <w:uiPriority w:val="99"/>
    <w:unhideWhenUsed/>
    <w:qFormat/>
    <w:pPr>
      <w:ind w:left="1260" w:hanging="420"/>
      <w:spacing w:before="100" w:beforeAutospacing="1" w:after="100" w:afterAutospacing="1"/>
    </w:pPr>
    <w:rPr>
      <w:szCs w:val="21"/>
    </w:rPr>
  </w:style>
  <w:style w:type="paragraph" w:styleId="797">
    <w:name w:val="toc 7"/>
    <w:basedOn w:val="782"/>
    <w:next w:val="782"/>
    <w:uiPriority w:val="39"/>
    <w:unhideWhenUsed/>
    <w:qFormat/>
    <w:pPr>
      <w:ind w:left="2520"/>
    </w:pPr>
    <w:rPr>
      <w:rFonts w:ascii="Calibri" w:hAnsi="Calibri"/>
      <w:szCs w:val="22"/>
    </w:rPr>
  </w:style>
  <w:style w:type="paragraph" w:styleId="798">
    <w:name w:val="Normal Indent"/>
    <w:basedOn w:val="782"/>
    <w:uiPriority w:val="0"/>
    <w:qFormat/>
    <w:pPr>
      <w:ind w:firstLine="420"/>
    </w:pPr>
    <w:rPr>
      <w:b/>
      <w:sz w:val="24"/>
      <w:szCs w:val="20"/>
    </w:rPr>
  </w:style>
  <w:style w:type="paragraph" w:styleId="799">
    <w:name w:val="Caption"/>
    <w:basedOn w:val="782"/>
    <w:next w:val="782"/>
    <w:uiPriority w:val="0"/>
    <w:qFormat/>
    <w:rPr>
      <w:rFonts w:ascii="Cambria" w:hAnsi="Cambria" w:eastAsia="黑体"/>
      <w:sz w:val="20"/>
      <w:szCs w:val="22"/>
    </w:rPr>
  </w:style>
  <w:style w:type="paragraph" w:styleId="800">
    <w:name w:val="Document Map"/>
    <w:basedOn w:val="782"/>
    <w:link w:val="1027"/>
    <w:uiPriority w:val="0"/>
    <w:qFormat/>
    <w:rPr>
      <w:rFonts w:ascii="宋体"/>
      <w:sz w:val="18"/>
      <w:szCs w:val="18"/>
    </w:rPr>
  </w:style>
  <w:style w:type="paragraph" w:styleId="801">
    <w:name w:val="annotation text"/>
    <w:basedOn w:val="782"/>
    <w:link w:val="1051"/>
    <w:uiPriority w:val="99"/>
    <w:qFormat/>
    <w:pPr>
      <w:jc w:val="left"/>
    </w:pPr>
  </w:style>
  <w:style w:type="paragraph" w:styleId="802">
    <w:name w:val="Body Text 3"/>
    <w:basedOn w:val="782"/>
    <w:link w:val="1070"/>
    <w:uiPriority w:val="0"/>
    <w:qFormat/>
    <w:rPr>
      <w:rFonts w:ascii="宋体"/>
      <w:sz w:val="24"/>
      <w:szCs w:val="20"/>
    </w:rPr>
  </w:style>
  <w:style w:type="paragraph" w:styleId="803">
    <w:name w:val="Body Text"/>
    <w:basedOn w:val="782"/>
    <w:next w:val="782"/>
    <w:link w:val="1058"/>
    <w:uiPriority w:val="0"/>
    <w:qFormat/>
    <w:pPr>
      <w:jc w:val="center"/>
    </w:pPr>
    <w:rPr>
      <w:rFonts w:eastAsia="幼圆"/>
      <w:b/>
      <w:bCs/>
      <w:sz w:val="44"/>
    </w:rPr>
  </w:style>
  <w:style w:type="paragraph" w:styleId="804">
    <w:name w:val="index 4"/>
    <w:basedOn w:val="782"/>
    <w:next w:val="782"/>
    <w:uiPriority w:val="0"/>
    <w:qFormat/>
    <w:pPr>
      <w:ind w:left="600"/>
    </w:pPr>
    <w:rPr>
      <w:rFonts w:ascii="Calibri" w:hAnsi="Calibri"/>
    </w:rPr>
  </w:style>
  <w:style w:type="paragraph" w:styleId="805">
    <w:name w:val="toc 5"/>
    <w:basedOn w:val="782"/>
    <w:next w:val="782"/>
    <w:uiPriority w:val="39"/>
    <w:unhideWhenUsed/>
    <w:qFormat/>
    <w:pPr>
      <w:ind w:left="1680"/>
    </w:pPr>
    <w:rPr>
      <w:rFonts w:ascii="Calibri" w:hAnsi="Calibri"/>
      <w:szCs w:val="22"/>
    </w:rPr>
  </w:style>
  <w:style w:type="paragraph" w:styleId="806">
    <w:name w:val="toc 3"/>
    <w:basedOn w:val="782"/>
    <w:next w:val="782"/>
    <w:uiPriority w:val="39"/>
    <w:qFormat/>
    <w:pPr>
      <w:ind w:left="840"/>
    </w:pPr>
    <w:rPr>
      <w:rFonts w:ascii="Calibri" w:hAnsi="Calibri"/>
      <w:szCs w:val="22"/>
    </w:rPr>
  </w:style>
  <w:style w:type="paragraph" w:styleId="807">
    <w:name w:val="Plain Text"/>
    <w:basedOn w:val="782"/>
    <w:link w:val="1020"/>
    <w:uiPriority w:val="0"/>
    <w:qFormat/>
    <w:rPr>
      <w:rFonts w:ascii="Ari"/>
    </w:rPr>
  </w:style>
  <w:style w:type="paragraph" w:styleId="808">
    <w:name w:val="toc 8"/>
    <w:basedOn w:val="782"/>
    <w:next w:val="782"/>
    <w:uiPriority w:val="39"/>
    <w:unhideWhenUsed/>
    <w:qFormat/>
    <w:pPr>
      <w:ind w:left="2940"/>
    </w:pPr>
    <w:rPr>
      <w:rFonts w:ascii="Calibri" w:hAnsi="Calibri"/>
      <w:szCs w:val="22"/>
    </w:rPr>
  </w:style>
  <w:style w:type="paragraph" w:styleId="809">
    <w:name w:val="Date"/>
    <w:basedOn w:val="782"/>
    <w:next w:val="782"/>
    <w:link w:val="1028"/>
    <w:uiPriority w:val="0"/>
    <w:unhideWhenUsed/>
    <w:qFormat/>
  </w:style>
  <w:style w:type="paragraph" w:styleId="810">
    <w:name w:val="Body Text Indent 2"/>
    <w:basedOn w:val="782"/>
    <w:link w:val="1050"/>
    <w:uiPriority w:val="99"/>
    <w:unhideWhenUsed/>
    <w:qFormat/>
    <w:pPr>
      <w:ind w:firstLine="525"/>
      <w:spacing w:line="420" w:lineRule="exact"/>
    </w:pPr>
    <w:rPr>
      <w:rFonts w:ascii="宋体"/>
      <w:sz w:val="20"/>
      <w:szCs w:val="20"/>
    </w:rPr>
  </w:style>
  <w:style w:type="paragraph" w:styleId="811">
    <w:name w:val="endnote text"/>
    <w:basedOn w:val="782"/>
    <w:link w:val="988"/>
    <w:uiPriority w:val="99"/>
    <w:semiHidden/>
    <w:unhideWhenUsed/>
    <w:qFormat/>
    <w:rPr>
      <w:sz w:val="20"/>
    </w:rPr>
  </w:style>
  <w:style w:type="paragraph" w:styleId="812">
    <w:name w:val="Balloon Text"/>
    <w:basedOn w:val="782"/>
    <w:link w:val="1073"/>
    <w:uiPriority w:val="0"/>
    <w:qFormat/>
    <w:rPr>
      <w:sz w:val="18"/>
      <w:szCs w:val="18"/>
    </w:rPr>
  </w:style>
  <w:style w:type="paragraph" w:styleId="813">
    <w:name w:val="Footer"/>
    <w:basedOn w:val="782"/>
    <w:link w:val="1063"/>
    <w:uiPriority w:val="99"/>
    <w:qFormat/>
    <w:pPr>
      <w:jc w:val="left"/>
      <w:tabs>
        <w:tab w:val="center" w:pos="4153" w:leader="none"/>
        <w:tab w:val="right" w:pos="8306" w:leader="none"/>
      </w:tabs>
    </w:pPr>
    <w:rPr>
      <w:sz w:val="18"/>
      <w:szCs w:val="18"/>
    </w:rPr>
  </w:style>
  <w:style w:type="paragraph" w:styleId="814">
    <w:name w:val="Header"/>
    <w:basedOn w:val="782"/>
    <w:link w:val="1018"/>
    <w:uiPriority w:val="0"/>
    <w:qFormat/>
    <w:pPr>
      <w:jc w:val="center"/>
      <w:tabs>
        <w:tab w:val="center" w:pos="4153" w:leader="none"/>
        <w:tab w:val="right" w:pos="8306" w:leader="none"/>
      </w:tabs>
      <w:pBdr>
        <w:bottom w:val="single" w:color="auto" w:sz="6" w:space="1"/>
      </w:pBdr>
    </w:pPr>
    <w:rPr>
      <w:sz w:val="18"/>
      <w:szCs w:val="18"/>
    </w:rPr>
  </w:style>
  <w:style w:type="paragraph" w:styleId="815">
    <w:name w:val="toc 1"/>
    <w:basedOn w:val="782"/>
    <w:next w:val="782"/>
    <w:uiPriority w:val="39"/>
    <w:qFormat/>
  </w:style>
  <w:style w:type="paragraph" w:styleId="816">
    <w:name w:val="toc 4"/>
    <w:basedOn w:val="782"/>
    <w:next w:val="782"/>
    <w:uiPriority w:val="39"/>
    <w:unhideWhenUsed/>
    <w:qFormat/>
    <w:pPr>
      <w:ind w:left="1260"/>
    </w:pPr>
    <w:rPr>
      <w:rFonts w:ascii="Calibri" w:hAnsi="Calibri"/>
      <w:szCs w:val="22"/>
    </w:rPr>
  </w:style>
  <w:style w:type="paragraph" w:styleId="817">
    <w:name w:val="index heading"/>
    <w:basedOn w:val="782"/>
    <w:next w:val="818"/>
    <w:uiPriority w:val="99"/>
    <w:unhideWhenUsed/>
    <w:qFormat/>
    <w:pPr>
      <w:tabs>
        <w:tab w:val="left" w:pos="240" w:leader="none"/>
      </w:tabs>
    </w:pPr>
  </w:style>
  <w:style w:type="paragraph" w:styleId="818">
    <w:name w:val="index 1"/>
    <w:basedOn w:val="782"/>
    <w:next w:val="782"/>
    <w:uiPriority w:val="0"/>
    <w:qFormat/>
    <w:pPr>
      <w:jc w:val="center"/>
      <w:spacing w:line="220" w:lineRule="exact"/>
    </w:pPr>
    <w:rPr>
      <w:rFonts w:ascii="仿宋_GB2312" w:hAnsi="Calibri" w:eastAsia="仿宋_GB2312"/>
      <w:szCs w:val="22"/>
    </w:rPr>
  </w:style>
  <w:style w:type="paragraph" w:styleId="819">
    <w:name w:val="Subtitle"/>
    <w:basedOn w:val="782"/>
    <w:next w:val="782"/>
    <w:link w:val="1046"/>
    <w:uiPriority w:val="0"/>
    <w:qFormat/>
    <w:pPr>
      <w:jc w:val="center"/>
      <w:spacing w:before="240" w:after="60" w:line="312" w:lineRule="auto"/>
      <w:outlineLvl w:val="1"/>
    </w:pPr>
    <w:rPr>
      <w:rFonts w:ascii="Cambria" w:hAnsi="Cambria"/>
      <w:b/>
      <w:bCs/>
      <w:sz w:val="32"/>
      <w:szCs w:val="32"/>
    </w:rPr>
  </w:style>
  <w:style w:type="paragraph" w:styleId="820">
    <w:name w:val="footnote text"/>
    <w:basedOn w:val="782"/>
    <w:link w:val="987"/>
    <w:uiPriority w:val="99"/>
    <w:semiHidden/>
    <w:unhideWhenUsed/>
    <w:qFormat/>
    <w:pPr>
      <w:spacing w:after="40"/>
    </w:pPr>
    <w:rPr>
      <w:sz w:val="18"/>
    </w:rPr>
  </w:style>
  <w:style w:type="paragraph" w:styleId="821">
    <w:name w:val="toc 6"/>
    <w:basedOn w:val="782"/>
    <w:next w:val="782"/>
    <w:uiPriority w:val="39"/>
    <w:unhideWhenUsed/>
    <w:qFormat/>
    <w:pPr>
      <w:ind w:left="2100"/>
    </w:pPr>
    <w:rPr>
      <w:rFonts w:ascii="Calibri" w:hAnsi="Calibri"/>
      <w:szCs w:val="22"/>
    </w:rPr>
  </w:style>
  <w:style w:type="paragraph" w:styleId="822">
    <w:name w:val="Body Text Indent 3"/>
    <w:basedOn w:val="782"/>
    <w:link w:val="1071"/>
    <w:uiPriority w:val="0"/>
    <w:qFormat/>
    <w:pPr>
      <w:ind w:left="420"/>
      <w:spacing w:after="120"/>
    </w:pPr>
    <w:rPr>
      <w:sz w:val="16"/>
      <w:szCs w:val="20"/>
    </w:rPr>
  </w:style>
  <w:style w:type="paragraph" w:styleId="823">
    <w:name w:val="table of figures"/>
    <w:basedOn w:val="782"/>
    <w:next w:val="782"/>
    <w:uiPriority w:val="99"/>
    <w:unhideWhenUsed/>
    <w:qFormat/>
  </w:style>
  <w:style w:type="paragraph" w:styleId="824">
    <w:name w:val="toc 2"/>
    <w:basedOn w:val="782"/>
    <w:next w:val="782"/>
    <w:uiPriority w:val="39"/>
    <w:qFormat/>
    <w:pPr>
      <w:ind w:left="420"/>
    </w:pPr>
    <w:rPr>
      <w:rFonts w:ascii="Calibri" w:hAnsi="Calibri"/>
      <w:szCs w:val="22"/>
    </w:rPr>
  </w:style>
  <w:style w:type="paragraph" w:styleId="825">
    <w:name w:val="toc 9"/>
    <w:basedOn w:val="782"/>
    <w:next w:val="782"/>
    <w:uiPriority w:val="39"/>
    <w:unhideWhenUsed/>
    <w:qFormat/>
    <w:pPr>
      <w:ind w:left="3360"/>
    </w:pPr>
    <w:rPr>
      <w:rFonts w:ascii="Calibri" w:hAnsi="Calibri"/>
      <w:szCs w:val="22"/>
    </w:rPr>
  </w:style>
  <w:style w:type="paragraph" w:styleId="826">
    <w:name w:val="HTML Preformatted"/>
    <w:basedOn w:val="78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7">
    <w:name w:val="Normal (Web)"/>
    <w:basedOn w:val="782"/>
    <w:uiPriority w:val="99"/>
    <w:qFormat/>
    <w:pPr>
      <w:jc w:val="left"/>
      <w:spacing w:before="100" w:beforeAutospacing="1" w:after="100" w:afterAutospacing="1"/>
      <w:widowControl/>
    </w:pPr>
    <w:rPr>
      <w:rFonts w:ascii="宋体" w:hAnsi="宋体" w:cs="宋体"/>
      <w:sz w:val="24"/>
    </w:rPr>
  </w:style>
  <w:style w:type="paragraph" w:styleId="828">
    <w:name w:val="Title"/>
    <w:basedOn w:val="782"/>
    <w:next w:val="782"/>
    <w:link w:val="1023"/>
    <w:uiPriority w:val="0"/>
    <w:qFormat/>
    <w:pPr>
      <w:jc w:val="center"/>
      <w:spacing w:before="240" w:after="60" w:line="420" w:lineRule="atLeast"/>
      <w:outlineLvl w:val="0"/>
    </w:pPr>
    <w:rPr>
      <w:rFonts w:ascii="Arial" w:hAnsi="Arial"/>
      <w:b/>
      <w:sz w:val="32"/>
      <w:szCs w:val="20"/>
    </w:rPr>
  </w:style>
  <w:style w:type="paragraph" w:styleId="829">
    <w:name w:val="annotation subject"/>
    <w:basedOn w:val="801"/>
    <w:next w:val="801"/>
    <w:link w:val="1061"/>
    <w:uiPriority w:val="0"/>
    <w:qFormat/>
    <w:rPr>
      <w:b/>
      <w:bCs/>
    </w:rPr>
  </w:style>
  <w:style w:type="paragraph" w:styleId="830">
    <w:name w:val="Body Text First Indent"/>
    <w:basedOn w:val="803"/>
    <w:uiPriority w:val="0"/>
    <w:qFormat/>
    <w:pPr>
      <w:ind w:firstLine="420"/>
    </w:pPr>
  </w:style>
  <w:style w:type="table" w:styleId="831">
    <w:name w:val="Table Grid"/>
    <w:basedOn w:val="7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uiPriority w:val="0"/>
    <w:qFormat/>
    <w:rPr>
      <w:rFonts w:cs="Times New Roman"/>
      <w:b/>
    </w:rPr>
  </w:style>
  <w:style w:type="character" w:styleId="833">
    <w:name w:val="endnote reference"/>
    <w:basedOn w:val="792"/>
    <w:uiPriority w:val="99"/>
    <w:semiHidden/>
    <w:unhideWhenUsed/>
    <w:qFormat/>
    <w:rPr>
      <w:vertAlign w:val="superscript"/>
    </w:rPr>
  </w:style>
  <w:style w:type="character" w:styleId="834">
    <w:name w:val="page number"/>
    <w:basedOn w:val="792"/>
    <w:uiPriority w:val="0"/>
    <w:qFormat/>
    <w:rPr>
      <w:rFonts w:eastAsia="宋体"/>
      <w:b/>
      <w:spacing w:val="0"/>
      <w:sz w:val="24"/>
      <w:szCs w:val="24"/>
      <w:vertAlign w:val="baseline"/>
      <w:lang w:val="en-US" w:eastAsia="zh-CN" w:bidi="ar-SA"/>
    </w:rPr>
  </w:style>
  <w:style w:type="character" w:styleId="835">
    <w:name w:val="FollowedHyperlink"/>
    <w:uiPriority w:val="0"/>
    <w:qFormat/>
    <w:rPr>
      <w:color w:val="800080"/>
      <w:u w:val="single"/>
    </w:rPr>
  </w:style>
  <w:style w:type="character" w:styleId="836">
    <w:name w:val="Emphasis"/>
    <w:uiPriority w:val="0"/>
    <w:qFormat/>
    <w:rPr>
      <w:color w:val="cc0000"/>
    </w:rPr>
  </w:style>
  <w:style w:type="character" w:styleId="837">
    <w:name w:val="Hyperlink"/>
    <w:basedOn w:val="792"/>
    <w:uiPriority w:val="99"/>
    <w:qFormat/>
    <w:rPr>
      <w:color w:val="0000ff"/>
      <w:u w:val="single"/>
    </w:rPr>
  </w:style>
  <w:style w:type="character" w:styleId="838">
    <w:name w:val="annotation reference"/>
    <w:uiPriority w:val="99"/>
    <w:qFormat/>
    <w:rPr>
      <w:sz w:val="21"/>
      <w:szCs w:val="21"/>
    </w:rPr>
  </w:style>
  <w:style w:type="character" w:styleId="839">
    <w:name w:val="HTML Cite"/>
    <w:uiPriority w:val="0"/>
    <w:qFormat/>
    <w:rPr>
      <w:color w:val="008000"/>
    </w:rPr>
  </w:style>
  <w:style w:type="character" w:styleId="840">
    <w:name w:val="footnote reference"/>
    <w:basedOn w:val="792"/>
    <w:uiPriority w:val="99"/>
    <w:unhideWhenUsed/>
    <w:qFormat/>
    <w:rPr>
      <w:vertAlign w:val="superscript"/>
    </w:rPr>
  </w:style>
  <w:style w:type="paragraph" w:styleId="841">
    <w:name w:val="List Paragraph"/>
    <w:basedOn w:val="782"/>
    <w:next w:val="782"/>
    <w:uiPriority w:val="34"/>
    <w:qFormat/>
    <w:pPr>
      <w:ind w:firstLine="420"/>
    </w:pPr>
  </w:style>
  <w:style w:type="paragraph" w:styleId="842" w:customStyle="1">
    <w:name w:val="段"/>
    <w:basedOn w:val="782"/>
    <w:uiPriority w:val="0"/>
    <w:qFormat/>
    <w:pPr>
      <w:ind w:firstLine="200"/>
      <w:widowControl/>
    </w:pPr>
    <w:rPr>
      <w:rFonts w:hint="eastAsia" w:ascii="宋体"/>
      <w:szCs w:val="20"/>
    </w:rPr>
  </w:style>
  <w:style w:type="paragraph" w:styleId="843" w:customStyle="1">
    <w:name w:val="首行缩进"/>
    <w:basedOn w:val="782"/>
    <w:uiPriority w:val="0"/>
    <w:qFormat/>
    <w:pPr>
      <w:ind w:firstLine="480"/>
      <w:spacing w:line="360" w:lineRule="auto"/>
    </w:pPr>
    <w:rPr>
      <w:rFonts w:ascii="宋体" w:hAnsi="宋体" w:cs="宋体"/>
      <w:sz w:val="24"/>
    </w:rPr>
  </w:style>
  <w:style w:type="character" w:styleId="844" w:customStyle="1">
    <w:name w:val="Heading 1 Char"/>
    <w:basedOn w:val="792"/>
    <w:uiPriority w:val="9"/>
    <w:qFormat/>
    <w:rPr>
      <w:rFonts w:ascii="Arial" w:hAnsi="Arial" w:eastAsia="Arial" w:cs="Arial"/>
      <w:sz w:val="40"/>
      <w:szCs w:val="40"/>
    </w:rPr>
  </w:style>
  <w:style w:type="character" w:styleId="845" w:customStyle="1">
    <w:name w:val="Heading 2 Char"/>
    <w:basedOn w:val="792"/>
    <w:uiPriority w:val="9"/>
    <w:qFormat/>
    <w:rPr>
      <w:rFonts w:ascii="Arial" w:hAnsi="Arial" w:eastAsia="Arial" w:cs="Arial"/>
      <w:sz w:val="34"/>
    </w:rPr>
  </w:style>
  <w:style w:type="character" w:styleId="846" w:customStyle="1">
    <w:name w:val="Heading 3 Char"/>
    <w:basedOn w:val="792"/>
    <w:uiPriority w:val="9"/>
    <w:qFormat/>
    <w:rPr>
      <w:rFonts w:ascii="Arial" w:hAnsi="Arial" w:eastAsia="Arial" w:cs="Arial"/>
      <w:sz w:val="30"/>
      <w:szCs w:val="30"/>
    </w:rPr>
  </w:style>
  <w:style w:type="character" w:styleId="847" w:customStyle="1">
    <w:name w:val="Heading 4 Char"/>
    <w:basedOn w:val="792"/>
    <w:uiPriority w:val="9"/>
    <w:qFormat/>
    <w:rPr>
      <w:rFonts w:ascii="Arial" w:hAnsi="Arial" w:eastAsia="Arial" w:cs="Arial"/>
      <w:b/>
      <w:bCs/>
      <w:sz w:val="26"/>
      <w:szCs w:val="26"/>
    </w:rPr>
  </w:style>
  <w:style w:type="character" w:styleId="848" w:customStyle="1">
    <w:name w:val="Heading 5 Char"/>
    <w:basedOn w:val="792"/>
    <w:uiPriority w:val="9"/>
    <w:qFormat/>
    <w:rPr>
      <w:rFonts w:ascii="Arial" w:hAnsi="Arial" w:eastAsia="Arial" w:cs="Arial"/>
      <w:b/>
      <w:bCs/>
      <w:sz w:val="24"/>
      <w:szCs w:val="24"/>
    </w:rPr>
  </w:style>
  <w:style w:type="character" w:styleId="849" w:customStyle="1">
    <w:name w:val="Heading 6 Char"/>
    <w:basedOn w:val="792"/>
    <w:uiPriority w:val="9"/>
    <w:qFormat/>
    <w:rPr>
      <w:rFonts w:ascii="Arial" w:hAnsi="Arial" w:eastAsia="Arial" w:cs="Arial"/>
      <w:b/>
      <w:bCs/>
      <w:sz w:val="22"/>
      <w:szCs w:val="22"/>
    </w:rPr>
  </w:style>
  <w:style w:type="character" w:styleId="850" w:customStyle="1">
    <w:name w:val="Heading 7 Char"/>
    <w:basedOn w:val="792"/>
    <w:uiPriority w:val="9"/>
    <w:qFormat/>
    <w:rPr>
      <w:rFonts w:ascii="Arial" w:hAnsi="Arial" w:eastAsia="Arial" w:cs="Arial"/>
      <w:b/>
      <w:bCs/>
      <w:i/>
      <w:iCs/>
      <w:sz w:val="22"/>
      <w:szCs w:val="22"/>
    </w:rPr>
  </w:style>
  <w:style w:type="character" w:styleId="851" w:customStyle="1">
    <w:name w:val="Heading 8 Char"/>
    <w:basedOn w:val="792"/>
    <w:uiPriority w:val="9"/>
    <w:qFormat/>
    <w:rPr>
      <w:rFonts w:ascii="Arial" w:hAnsi="Arial" w:eastAsia="Arial" w:cs="Arial"/>
      <w:i/>
      <w:iCs/>
      <w:sz w:val="22"/>
      <w:szCs w:val="22"/>
    </w:rPr>
  </w:style>
  <w:style w:type="character" w:styleId="852" w:customStyle="1">
    <w:name w:val="Heading 9 Char"/>
    <w:basedOn w:val="792"/>
    <w:uiPriority w:val="9"/>
    <w:qFormat/>
    <w:rPr>
      <w:rFonts w:ascii="Arial" w:hAnsi="Arial" w:eastAsia="Arial" w:cs="Arial"/>
      <w:i/>
      <w:iCs/>
      <w:sz w:val="21"/>
      <w:szCs w:val="21"/>
    </w:rPr>
  </w:style>
  <w:style w:type="character" w:styleId="853" w:customStyle="1">
    <w:name w:val="Title Char"/>
    <w:basedOn w:val="792"/>
    <w:uiPriority w:val="10"/>
    <w:qFormat/>
    <w:rPr>
      <w:sz w:val="48"/>
      <w:szCs w:val="48"/>
    </w:rPr>
  </w:style>
  <w:style w:type="character" w:styleId="854" w:customStyle="1">
    <w:name w:val="Subtitle Char"/>
    <w:basedOn w:val="792"/>
    <w:uiPriority w:val="11"/>
    <w:qFormat/>
    <w:rPr>
      <w:sz w:val="24"/>
      <w:szCs w:val="24"/>
    </w:rPr>
  </w:style>
  <w:style w:type="paragraph" w:styleId="855">
    <w:name w:val="Quote"/>
    <w:basedOn w:val="782"/>
    <w:next w:val="782"/>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82"/>
    <w:next w:val="782"/>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Header Char"/>
    <w:basedOn w:val="792"/>
    <w:uiPriority w:val="99"/>
    <w:qFormat/>
  </w:style>
  <w:style w:type="character" w:styleId="860" w:customStyle="1">
    <w:name w:val="Footer Char"/>
    <w:basedOn w:val="792"/>
    <w:uiPriority w:val="99"/>
    <w:qFormat/>
  </w:style>
  <w:style w:type="character" w:styleId="861" w:customStyle="1">
    <w:name w:val="Caption Char"/>
    <w:uiPriority w:val="99"/>
    <w:qFormat/>
  </w:style>
  <w:style w:type="table" w:styleId="862"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3"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basedOn w:val="7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basedOn w:val="7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basedOn w:val="7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basedOn w:val="7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basedOn w:val="7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basedOn w:val="7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basedOn w:val="7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basedOn w:val="7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basedOn w:val="7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basedOn w:val="7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basedOn w:val="7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basedOn w:val="7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basedOn w:val="7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basedOn w:val="7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basedOn w:val="7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basedOn w:val="7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basedOn w:val="7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basedOn w:val="7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basedOn w:val="79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basedOn w:val="79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basedOn w:val="79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basedOn w:val="79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basedOn w:val="79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basedOn w:val="79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basedOn w:val="79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basedOn w:val="7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basedOn w:val="79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7" w:customStyle="1">
    <w:name w:val="Grid Table 6 Colorful - Accent 4"/>
    <w:basedOn w:val="7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basedOn w:val="79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basedOn w:val="79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basedOn w:val="79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79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79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79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79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79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清单表 1 浅色1"/>
    <w:basedOn w:val="7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basedOn w:val="79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basedOn w:val="79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basedOn w:val="79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basedOn w:val="79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basedOn w:val="79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basedOn w:val="79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basedOn w:val="79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basedOn w:val="79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basedOn w:val="79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basedOn w:val="79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basedOn w:val="79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basedOn w:val="79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basedOn w:val="79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basedOn w:val="7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9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9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9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basedOn w:val="79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basedOn w:val="79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basedOn w:val="79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basedOn w:val="79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basedOn w:val="79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basedOn w:val="79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basedOn w:val="79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basedOn w:val="79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basedOn w:val="79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basedOn w:val="79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basedOn w:val="79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basedOn w:val="79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basedOn w:val="79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basedOn w:val="79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basedOn w:val="79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basedOn w:val="79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basedOn w:val="79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basedOn w:val="79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basedOn w:val="79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清单表 7 彩色1"/>
    <w:basedOn w:val="79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basedOn w:val="79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basedOn w:val="79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basedOn w:val="79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basedOn w:val="79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basedOn w:val="79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basedOn w:val="79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basedOn w:val="79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basedOn w:val="79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basedOn w:val="79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basedOn w:val="79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basedOn w:val="79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basedOn w:val="79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basedOn w:val="7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basedOn w:val="7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basedOn w:val="7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basedOn w:val="7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basedOn w:val="7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basedOn w:val="7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脚注文本 字符"/>
    <w:link w:val="820"/>
    <w:uiPriority w:val="99"/>
    <w:qFormat/>
    <w:rPr>
      <w:sz w:val="18"/>
    </w:rPr>
  </w:style>
  <w:style w:type="character" w:styleId="988" w:customStyle="1">
    <w:name w:val="尾注文本 字符"/>
    <w:link w:val="811"/>
    <w:uiPriority w:val="99"/>
    <w:qFormat/>
    <w:rPr>
      <w:sz w:val="20"/>
    </w:rPr>
  </w:style>
  <w:style w:type="paragraph" w:styleId="989" w:customStyle="1">
    <w:name w:val="TOC 标题1"/>
    <w:uiPriority w:val="39"/>
    <w:unhideWhenUsed/>
    <w:qFormat/>
    <w:rPr>
      <w:rFonts w:ascii="Times New Roman" w:hAnsi="Times New Roman" w:eastAsia="宋体" w:cs="Times New Roman"/>
      <w:lang w:val="en-US" w:eastAsia="zh-CN" w:bidi="ar-SA"/>
    </w:rPr>
  </w:style>
  <w:style w:type="paragraph" w:styleId="990" w:customStyle="1">
    <w:name w:val="索引 41"/>
    <w:basedOn w:val="991"/>
    <w:next w:val="782"/>
    <w:uiPriority w:val="99"/>
    <w:qFormat/>
    <w:pPr>
      <w:ind w:left="600"/>
    </w:pPr>
    <w:rPr>
      <w:rFonts w:ascii="Verdana" w:hAnsi="Verdana"/>
    </w:rPr>
  </w:style>
  <w:style w:type="paragraph" w:styleId="991" w:customStyle="1">
    <w:name w:val="正文1"/>
    <w:next w:val="990"/>
    <w:uiPriority w:val="0"/>
    <w:qFormat/>
    <w:pPr>
      <w:jc w:val="both"/>
      <w:widowControl w:val="off"/>
    </w:pPr>
    <w:rPr>
      <w:rFonts w:ascii="Calibri" w:hAnsi="Calibri" w:eastAsia="宋体" w:cs="Times New Roman"/>
      <w:lang w:val="en-US" w:eastAsia="zh-CN" w:bidi="ar-SA"/>
    </w:rPr>
  </w:style>
  <w:style w:type="paragraph" w:styleId="992" w:customStyle="1">
    <w:name w:val="一级条标题"/>
    <w:basedOn w:val="993"/>
    <w:next w:val="8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3" w:customStyle="1">
    <w:name w:val="章标题"/>
    <w:basedOn w:val="782"/>
    <w:next w:val="78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94" w:customStyle="1">
    <w:name w:val="列表段落1"/>
    <w:basedOn w:val="782"/>
    <w:next w:val="801"/>
    <w:uiPriority w:val="99"/>
    <w:qFormat/>
    <w:pPr>
      <w:ind w:firstLine="420"/>
    </w:pPr>
  </w:style>
  <w:style w:type="paragraph" w:styleId="99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6" w:customStyle="1">
    <w:name w:val="正文首行缩进 21"/>
    <w:basedOn w:val="997"/>
    <w:next w:val="782"/>
    <w:uiPriority w:val="0"/>
    <w:qFormat/>
    <w:pPr>
      <w:ind w:firstLine="420"/>
      <w:spacing w:before="100" w:beforeAutospacing="1"/>
    </w:pPr>
    <w:rPr>
      <w:rFonts w:ascii="宋体" w:hAnsi="宋体"/>
      <w:szCs w:val="21"/>
    </w:rPr>
  </w:style>
  <w:style w:type="paragraph" w:styleId="997" w:customStyle="1">
    <w:name w:val="正文文本缩进1"/>
    <w:basedOn w:val="782"/>
    <w:uiPriority w:val="0"/>
    <w:qFormat/>
    <w:pPr>
      <w:ind w:firstLine="880"/>
      <w:spacing w:line="500" w:lineRule="exact"/>
    </w:pPr>
  </w:style>
  <w:style w:type="character" w:styleId="998" w:customStyle="1">
    <w:name w:val="标题 1 Char1"/>
    <w:uiPriority w:val="0"/>
    <w:qFormat/>
    <w:rPr>
      <w:rFonts w:ascii="Times New Roman" w:hAnsi="Times New Roman" w:eastAsia="宋体" w:cs="Times New Roman"/>
      <w:b/>
      <w:bCs/>
      <w:sz w:val="32"/>
      <w:szCs w:val="44"/>
    </w:rPr>
  </w:style>
  <w:style w:type="character" w:styleId="999" w:customStyle="1">
    <w:name w:val="明显强调1"/>
    <w:uiPriority w:val="0"/>
    <w:qFormat/>
    <w:rPr>
      <w:b/>
      <w:bCs/>
      <w:i/>
      <w:iCs/>
      <w:color w:val="4f81bd"/>
    </w:rPr>
  </w:style>
  <w:style w:type="character" w:styleId="1000" w:customStyle="1">
    <w:name w:val="批注文字 Char2"/>
    <w:uiPriority w:val="0"/>
    <w:qFormat/>
    <w:rPr>
      <w:sz w:val="21"/>
    </w:rPr>
  </w:style>
  <w:style w:type="character" w:styleId="1001" w:customStyle="1">
    <w:name w:val="标题 3 Char_0"/>
    <w:link w:val="1002"/>
    <w:uiPriority w:val="0"/>
    <w:qFormat/>
    <w:rPr>
      <w:b/>
      <w:bCs/>
      <w:sz w:val="32"/>
      <w:szCs w:val="32"/>
    </w:rPr>
  </w:style>
  <w:style w:type="paragraph" w:styleId="1002" w:customStyle="1">
    <w:name w:val="标题 3_0"/>
    <w:basedOn w:val="1003"/>
    <w:next w:val="1003"/>
    <w:link w:val="1001"/>
    <w:uiPriority w:val="0"/>
    <w:qFormat/>
    <w:pPr>
      <w:keepLines/>
      <w:keepNext/>
      <w:spacing w:before="260" w:after="260" w:line="416" w:lineRule="auto"/>
      <w:outlineLvl w:val="2"/>
    </w:pPr>
    <w:rPr>
      <w:b/>
      <w:bCs/>
      <w:sz w:val="32"/>
      <w:szCs w:val="32"/>
    </w:rPr>
  </w:style>
  <w:style w:type="paragraph" w:styleId="100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04" w:customStyle="1">
    <w:name w:val="标题 2 字符"/>
    <w:link w:val="784"/>
    <w:uiPriority w:val="0"/>
    <w:qFormat/>
    <w:rPr>
      <w:rFonts w:ascii="Cambria" w:hAnsi="Cambria"/>
      <w:b/>
      <w:bCs/>
      <w:sz w:val="32"/>
      <w:szCs w:val="32"/>
    </w:rPr>
  </w:style>
  <w:style w:type="character" w:styleId="1005" w:customStyle="1">
    <w:name w:val="正文文本 Char2"/>
    <w:uiPriority w:val="99"/>
    <w:semiHidden/>
    <w:qFormat/>
    <w:rPr>
      <w:rFonts w:ascii="Calibri" w:hAnsi="Calibri" w:eastAsia="宋体" w:cs="Times New Roman"/>
    </w:rPr>
  </w:style>
  <w:style w:type="character" w:styleId="1006" w:customStyle="1">
    <w:name w:val="页脚 Char1"/>
    <w:uiPriority w:val="99"/>
    <w:semiHidden/>
    <w:qFormat/>
    <w:rPr>
      <w:rFonts w:ascii="Calibri" w:hAnsi="Calibri" w:eastAsia="宋体" w:cs="Times New Roman"/>
      <w:sz w:val="18"/>
      <w:szCs w:val="18"/>
    </w:rPr>
  </w:style>
  <w:style w:type="character" w:styleId="1007" w:customStyle="1">
    <w:name w:val="明显引用 Char2"/>
    <w:uiPriority w:val="99"/>
    <w:qFormat/>
    <w:rPr>
      <w:b/>
      <w:bCs/>
      <w:i/>
      <w:iCs/>
      <w:color w:val="4f81bd"/>
      <w:sz w:val="21"/>
      <w:szCs w:val="24"/>
    </w:rPr>
  </w:style>
  <w:style w:type="character" w:styleId="1008" w:customStyle="1">
    <w:name w:val="引用 Char"/>
    <w:link w:val="1009"/>
    <w:uiPriority w:val="0"/>
    <w:qFormat/>
    <w:rPr>
      <w:i/>
      <w:iCs/>
      <w:color w:val="000000"/>
    </w:rPr>
  </w:style>
  <w:style w:type="paragraph" w:styleId="1009" w:customStyle="1">
    <w:name w:val="引用1"/>
    <w:basedOn w:val="782"/>
    <w:next w:val="782"/>
    <w:link w:val="1008"/>
    <w:uiPriority w:val="0"/>
    <w:qFormat/>
    <w:rPr>
      <w:i/>
      <w:iCs/>
      <w:color w:val="000000"/>
      <w:sz w:val="20"/>
      <w:szCs w:val="20"/>
    </w:rPr>
  </w:style>
  <w:style w:type="character" w:styleId="1010" w:customStyle="1">
    <w:name w:val="标题 1 Char_0"/>
    <w:link w:val="1011"/>
    <w:uiPriority w:val="0"/>
    <w:qFormat/>
    <w:rPr>
      <w:b/>
      <w:bCs/>
      <w:sz w:val="44"/>
      <w:szCs w:val="44"/>
    </w:rPr>
  </w:style>
  <w:style w:type="paragraph" w:styleId="1011" w:customStyle="1">
    <w:name w:val="标题 1_0"/>
    <w:basedOn w:val="1003"/>
    <w:next w:val="1003"/>
    <w:link w:val="1010"/>
    <w:uiPriority w:val="0"/>
    <w:qFormat/>
    <w:pPr>
      <w:keepLines/>
      <w:keepNext/>
      <w:spacing w:before="340" w:after="330" w:line="578" w:lineRule="auto"/>
      <w:outlineLvl w:val="0"/>
    </w:pPr>
    <w:rPr>
      <w:b/>
      <w:bCs/>
      <w:sz w:val="44"/>
      <w:szCs w:val="44"/>
    </w:rPr>
  </w:style>
  <w:style w:type="character" w:styleId="1012" w:customStyle="1">
    <w:name w:val="正文文本缩进 3 Char1"/>
    <w:uiPriority w:val="99"/>
    <w:semiHidden/>
    <w:qFormat/>
    <w:rPr>
      <w:sz w:val="16"/>
      <w:szCs w:val="16"/>
    </w:rPr>
  </w:style>
  <w:style w:type="character" w:styleId="1013" w:customStyle="1">
    <w:name w:val="引用 Char1"/>
    <w:uiPriority w:val="29"/>
    <w:qFormat/>
    <w:rPr>
      <w:i/>
      <w:iCs/>
      <w:color w:val="000000"/>
      <w:sz w:val="21"/>
    </w:rPr>
  </w:style>
  <w:style w:type="character" w:styleId="1014" w:customStyle="1">
    <w:name w:val="正文文本缩进 字符"/>
    <w:link w:val="795"/>
    <w:uiPriority w:val="0"/>
    <w:qFormat/>
    <w:rPr>
      <w:sz w:val="21"/>
      <w:szCs w:val="24"/>
    </w:rPr>
  </w:style>
  <w:style w:type="character" w:styleId="1015" w:customStyle="1">
    <w:name w:val="font161"/>
    <w:uiPriority w:val="0"/>
    <w:qFormat/>
    <w:rPr>
      <w:b/>
      <w:sz w:val="32"/>
    </w:rPr>
  </w:style>
  <w:style w:type="character" w:styleId="1016" w:customStyle="1">
    <w:name w:val="标题 4 Char_0"/>
    <w:link w:val="1017"/>
    <w:uiPriority w:val="0"/>
    <w:qFormat/>
    <w:rPr>
      <w:rFonts w:ascii="Arial" w:hAnsi="Arial" w:eastAsia="黑体"/>
      <w:b/>
      <w:bCs/>
      <w:sz w:val="28"/>
      <w:szCs w:val="28"/>
    </w:rPr>
  </w:style>
  <w:style w:type="paragraph" w:styleId="1017" w:customStyle="1">
    <w:name w:val="标题 4_0"/>
    <w:basedOn w:val="1003"/>
    <w:next w:val="1003"/>
    <w:link w:val="1016"/>
    <w:uiPriority w:val="0"/>
    <w:qFormat/>
    <w:pPr>
      <w:keepLines/>
      <w:keepNext/>
      <w:spacing w:before="280" w:after="290" w:line="376" w:lineRule="auto"/>
      <w:outlineLvl w:val="3"/>
    </w:pPr>
    <w:rPr>
      <w:rFonts w:ascii="Arial" w:hAnsi="Arial" w:eastAsia="黑体"/>
      <w:b/>
      <w:bCs/>
      <w:sz w:val="28"/>
      <w:szCs w:val="28"/>
    </w:rPr>
  </w:style>
  <w:style w:type="character" w:styleId="1018" w:customStyle="1">
    <w:name w:val="页眉 字符"/>
    <w:link w:val="814"/>
    <w:uiPriority w:val="0"/>
    <w:qFormat/>
    <w:rPr>
      <w:sz w:val="18"/>
      <w:szCs w:val="18"/>
    </w:rPr>
  </w:style>
  <w:style w:type="character" w:styleId="1019" w:customStyle="1">
    <w:name w:val="标题 6 字符"/>
    <w:link w:val="788"/>
    <w:uiPriority w:val="0"/>
    <w:qFormat/>
    <w:rPr>
      <w:rFonts w:ascii="Cambria" w:hAnsi="Cambria" w:eastAsia="宋体" w:cs="Times New Roman"/>
      <w:b/>
      <w:bCs/>
      <w:sz w:val="24"/>
      <w:szCs w:val="24"/>
    </w:rPr>
  </w:style>
  <w:style w:type="character" w:styleId="1020" w:customStyle="1">
    <w:name w:val="纯文本 字符"/>
    <w:link w:val="807"/>
    <w:uiPriority w:val="0"/>
    <w:qFormat/>
    <w:rPr>
      <w:rFonts w:ascii="Ari"/>
      <w:lang w:val="en-US" w:eastAsia="zh-CN" w:bidi="ar-SA"/>
    </w:rPr>
  </w:style>
  <w:style w:type="character" w:styleId="1021" w:customStyle="1">
    <w:name w:val="引用 Char2"/>
    <w:uiPriority w:val="99"/>
    <w:qFormat/>
    <w:rPr>
      <w:i/>
      <w:iCs/>
      <w:color w:val="000000"/>
      <w:sz w:val="21"/>
      <w:szCs w:val="24"/>
    </w:rPr>
  </w:style>
  <w:style w:type="character" w:styleId="1022" w:customStyle="1">
    <w:name w:val="rvts11"/>
    <w:uiPriority w:val="0"/>
    <w:qFormat/>
    <w:rPr>
      <w:rFonts w:hint="default" w:ascii="KNLe" w:hAnsi="KNLe"/>
      <w:sz w:val="24"/>
      <w:szCs w:val="24"/>
      <w:u w:val="single"/>
    </w:rPr>
  </w:style>
  <w:style w:type="character" w:styleId="1023" w:customStyle="1">
    <w:name w:val="标题 字符"/>
    <w:link w:val="828"/>
    <w:uiPriority w:val="0"/>
    <w:qFormat/>
    <w:rPr>
      <w:rFonts w:ascii="Arial" w:hAnsi="Arial"/>
      <w:b/>
      <w:sz w:val="32"/>
    </w:rPr>
  </w:style>
  <w:style w:type="character" w:styleId="1024" w:customStyle="1">
    <w:name w:val="标题5 Char Char"/>
    <w:link w:val="1025"/>
    <w:uiPriority w:val="0"/>
    <w:qFormat/>
    <w:rPr>
      <w:rFonts w:ascii="Arial" w:hAnsi="Arial"/>
      <w:b/>
      <w:bCs/>
      <w:sz w:val="24"/>
      <w:szCs w:val="32"/>
    </w:rPr>
  </w:style>
  <w:style w:type="paragraph" w:styleId="1025" w:customStyle="1">
    <w:name w:val="标题5"/>
    <w:basedOn w:val="785"/>
    <w:link w:val="1024"/>
    <w:uiPriority w:val="0"/>
    <w:qFormat/>
    <w:pPr>
      <w:numPr>
        <w:ilvl w:val="0"/>
        <w:numId w:val="0"/>
      </w:numPr>
      <w:spacing w:line="413" w:lineRule="auto"/>
    </w:pPr>
    <w:rPr>
      <w:rFonts w:ascii="Arial" w:hAnsi="Arial"/>
      <w:sz w:val="24"/>
    </w:rPr>
  </w:style>
  <w:style w:type="character" w:styleId="1026" w:customStyle="1">
    <w:name w:val="副标题 Char2"/>
    <w:uiPriority w:val="11"/>
    <w:qFormat/>
    <w:rPr>
      <w:rFonts w:ascii="Cambria" w:hAnsi="Cambria" w:cs="Times New Roman"/>
      <w:b/>
      <w:bCs/>
      <w:sz w:val="32"/>
      <w:szCs w:val="32"/>
    </w:rPr>
  </w:style>
  <w:style w:type="character" w:styleId="1027" w:customStyle="1">
    <w:name w:val="文档结构图 字符"/>
    <w:link w:val="800"/>
    <w:uiPriority w:val="0"/>
    <w:qFormat/>
    <w:rPr>
      <w:rFonts w:ascii="宋体"/>
      <w:sz w:val="18"/>
      <w:szCs w:val="18"/>
    </w:rPr>
  </w:style>
  <w:style w:type="character" w:styleId="1028" w:customStyle="1">
    <w:name w:val="日期 字符"/>
    <w:link w:val="809"/>
    <w:uiPriority w:val="0"/>
    <w:qFormat/>
    <w:rPr>
      <w:sz w:val="21"/>
      <w:szCs w:val="24"/>
    </w:rPr>
  </w:style>
  <w:style w:type="character" w:styleId="1029" w:customStyle="1">
    <w:name w:val="批注主题 Char1"/>
    <w:uiPriority w:val="0"/>
    <w:qFormat/>
    <w:rPr>
      <w:b/>
      <w:bCs/>
      <w:sz w:val="21"/>
      <w:szCs w:val="22"/>
    </w:rPr>
  </w:style>
  <w:style w:type="character" w:styleId="1030" w:customStyle="1">
    <w:name w:val="font31"/>
    <w:uiPriority w:val="0"/>
    <w:qFormat/>
    <w:rPr>
      <w:rFonts w:hint="eastAsia" w:ascii="宋体" w:hAnsi="宋体" w:eastAsia="宋体" w:cs="宋体"/>
      <w:color w:val="000000"/>
      <w:sz w:val="20"/>
      <w:szCs w:val="20"/>
      <w:u w:val="none"/>
    </w:rPr>
  </w:style>
  <w:style w:type="character" w:styleId="1031" w:customStyle="1">
    <w:name w:val="明显引用 Char"/>
    <w:link w:val="1032"/>
    <w:uiPriority w:val="0"/>
    <w:qFormat/>
    <w:rPr>
      <w:b/>
      <w:bCs/>
      <w:i/>
      <w:iCs/>
      <w:color w:val="4f81bd"/>
    </w:rPr>
  </w:style>
  <w:style w:type="paragraph" w:styleId="1032" w:customStyle="1">
    <w:name w:val="明显引用1"/>
    <w:basedOn w:val="782"/>
    <w:next w:val="782"/>
    <w:link w:val="1031"/>
    <w:uiPriority w:val="0"/>
    <w:qFormat/>
    <w:pPr>
      <w:ind w:left="936" w:right="936"/>
      <w:spacing w:before="200" w:after="280"/>
      <w:pBdr>
        <w:bottom w:val="single" w:color="4F81BD" w:sz="4" w:space="4"/>
      </w:pBdr>
    </w:pPr>
    <w:rPr>
      <w:b/>
      <w:bCs/>
      <w:i/>
      <w:iCs/>
      <w:color w:val="4f81bd"/>
      <w:sz w:val="20"/>
      <w:szCs w:val="20"/>
    </w:rPr>
  </w:style>
  <w:style w:type="character" w:styleId="1033" w:customStyle="1">
    <w:name w:val="标题 5 字符"/>
    <w:link w:val="787"/>
    <w:uiPriority w:val="0"/>
    <w:qFormat/>
    <w:rPr>
      <w:b/>
      <w:bCs/>
      <w:sz w:val="28"/>
      <w:szCs w:val="28"/>
    </w:rPr>
  </w:style>
  <w:style w:type="character" w:styleId="1034" w:customStyle="1">
    <w:name w:val="日期 Char1"/>
    <w:uiPriority w:val="0"/>
    <w:qFormat/>
    <w:rPr>
      <w:rFonts w:ascii="Calibri" w:hAnsi="Calibri" w:eastAsia="宋体" w:cs="Times New Roman"/>
    </w:rPr>
  </w:style>
  <w:style w:type="character" w:styleId="1035" w:customStyle="1">
    <w:name w:val="批注框文本 Char1"/>
    <w:uiPriority w:val="0"/>
    <w:qFormat/>
    <w:rPr>
      <w:sz w:val="18"/>
      <w:szCs w:val="18"/>
    </w:rPr>
  </w:style>
  <w:style w:type="character" w:styleId="1036" w:customStyle="1">
    <w:name w:val="标题 Char1"/>
    <w:uiPriority w:val="10"/>
    <w:qFormat/>
    <w:rPr>
      <w:rFonts w:ascii="Cambria" w:hAnsi="Cambria" w:eastAsia="宋体" w:cs="Times New Roman"/>
      <w:b/>
      <w:bCs/>
      <w:sz w:val="32"/>
      <w:szCs w:val="32"/>
    </w:rPr>
  </w:style>
  <w:style w:type="character" w:styleId="1037" w:customStyle="1">
    <w:name w:val="标题 9 字符"/>
    <w:link w:val="791"/>
    <w:uiPriority w:val="0"/>
    <w:qFormat/>
    <w:rPr>
      <w:rFonts w:ascii="Cambria" w:hAnsi="Cambria" w:eastAsia="宋体" w:cs="Times New Roman"/>
      <w:sz w:val="21"/>
      <w:szCs w:val="21"/>
    </w:rPr>
  </w:style>
  <w:style w:type="character" w:styleId="1038" w:customStyle="1">
    <w:name w:val="不明显参考1"/>
    <w:uiPriority w:val="0"/>
    <w:qFormat/>
    <w:rPr>
      <w:smallCaps/>
      <w:color w:val="c0504d"/>
      <w:u w:val="single"/>
    </w:rPr>
  </w:style>
  <w:style w:type="character" w:styleId="1039" w:customStyle="1">
    <w:name w:val="批注文字 Char1"/>
    <w:uiPriority w:val="0"/>
    <w:qFormat/>
    <w:rPr>
      <w:rFonts w:ascii="Calibri" w:hAnsi="Calibri" w:eastAsia="宋体" w:cs="Times New Roman"/>
    </w:rPr>
  </w:style>
  <w:style w:type="character" w:styleId="1040" w:customStyle="1">
    <w:name w:val="标题 Char2"/>
    <w:uiPriority w:val="10"/>
    <w:qFormat/>
    <w:rPr>
      <w:rFonts w:ascii="Cambria" w:hAnsi="Cambria" w:cs="Times New Roman"/>
      <w:b/>
      <w:bCs/>
      <w:sz w:val="32"/>
      <w:szCs w:val="32"/>
    </w:rPr>
  </w:style>
  <w:style w:type="character" w:styleId="1041" w:customStyle="1">
    <w:name w:val="正文文本 3 Char1"/>
    <w:uiPriority w:val="99"/>
    <w:semiHidden/>
    <w:qFormat/>
    <w:rPr>
      <w:sz w:val="16"/>
      <w:szCs w:val="16"/>
    </w:rPr>
  </w:style>
  <w:style w:type="character" w:styleId="1042" w:customStyle="1">
    <w:name w:val="批注主题 Char2"/>
    <w:uiPriority w:val="0"/>
    <w:qFormat/>
    <w:rPr>
      <w:b/>
      <w:bCs/>
      <w:sz w:val="21"/>
    </w:rPr>
  </w:style>
  <w:style w:type="character" w:styleId="1043" w:customStyle="1">
    <w:name w:val="标题 3 字符"/>
    <w:link w:val="785"/>
    <w:uiPriority w:val="0"/>
    <w:qFormat/>
    <w:rPr>
      <w:b/>
      <w:bCs/>
      <w:sz w:val="32"/>
      <w:szCs w:val="32"/>
    </w:rPr>
  </w:style>
  <w:style w:type="character" w:styleId="1044" w:customStyle="1">
    <w:name w:val="正文文本 Char_0"/>
    <w:link w:val="1045"/>
    <w:uiPriority w:val="0"/>
    <w:qFormat/>
    <w:rPr>
      <w:szCs w:val="24"/>
    </w:rPr>
  </w:style>
  <w:style w:type="paragraph" w:styleId="1045" w:customStyle="1">
    <w:name w:val="正文文本_0"/>
    <w:basedOn w:val="1003"/>
    <w:link w:val="1044"/>
    <w:uiPriority w:val="0"/>
    <w:qFormat/>
    <w:pPr>
      <w:spacing w:after="120"/>
    </w:pPr>
    <w:rPr>
      <w:sz w:val="20"/>
    </w:rPr>
  </w:style>
  <w:style w:type="character" w:styleId="1046" w:customStyle="1">
    <w:name w:val="副标题 字符"/>
    <w:link w:val="819"/>
    <w:uiPriority w:val="0"/>
    <w:qFormat/>
    <w:rPr>
      <w:rFonts w:ascii="Cambria" w:hAnsi="Cambria"/>
      <w:b/>
      <w:bCs/>
      <w:sz w:val="32"/>
      <w:szCs w:val="32"/>
    </w:rPr>
  </w:style>
  <w:style w:type="character" w:styleId="1047" w:customStyle="1">
    <w:name w:val="bookmark"/>
    <w:basedOn w:val="792"/>
    <w:uiPriority w:val="0"/>
    <w:qFormat/>
  </w:style>
  <w:style w:type="character" w:styleId="1048" w:customStyle="1">
    <w:name w:val="标题 5 Char_0"/>
    <w:link w:val="1049"/>
    <w:uiPriority w:val="0"/>
    <w:qFormat/>
    <w:rPr>
      <w:rFonts w:ascii="Calibri" w:hAnsi="Calibri"/>
      <w:b/>
      <w:bCs/>
      <w:sz w:val="28"/>
      <w:szCs w:val="28"/>
    </w:rPr>
  </w:style>
  <w:style w:type="paragraph" w:styleId="1049" w:customStyle="1">
    <w:name w:val="标题 5_0"/>
    <w:basedOn w:val="1003"/>
    <w:next w:val="1003"/>
    <w:link w:val="1048"/>
    <w:uiPriority w:val="0"/>
    <w:qFormat/>
    <w:pPr>
      <w:keepLines/>
      <w:keepNext/>
      <w:spacing w:before="280" w:after="290" w:line="372" w:lineRule="auto"/>
      <w:outlineLvl w:val="4"/>
    </w:pPr>
    <w:rPr>
      <w:rFonts w:ascii="Calibri" w:hAnsi="Calibri"/>
      <w:b/>
      <w:bCs/>
      <w:sz w:val="28"/>
      <w:szCs w:val="28"/>
    </w:rPr>
  </w:style>
  <w:style w:type="character" w:styleId="1050" w:customStyle="1">
    <w:name w:val="正文文本缩进 2 字符"/>
    <w:link w:val="810"/>
    <w:uiPriority w:val="99"/>
    <w:qFormat/>
    <w:rPr>
      <w:rFonts w:ascii="宋体"/>
    </w:rPr>
  </w:style>
  <w:style w:type="character" w:styleId="1051" w:customStyle="1">
    <w:name w:val="批注文字 字符"/>
    <w:link w:val="801"/>
    <w:uiPriority w:val="99"/>
    <w:qFormat/>
    <w:rPr>
      <w:sz w:val="21"/>
      <w:szCs w:val="24"/>
    </w:rPr>
  </w:style>
  <w:style w:type="character" w:styleId="1052" w:customStyle="1">
    <w:name w:val="font11"/>
    <w:uiPriority w:val="0"/>
    <w:qFormat/>
    <w:rPr>
      <w:rFonts w:hint="eastAsia" w:ascii="宋体" w:hAnsi="宋体" w:eastAsia="宋体" w:cs="宋体"/>
      <w:color w:val="000000"/>
      <w:sz w:val="20"/>
      <w:szCs w:val="20"/>
      <w:u w:val="none"/>
    </w:rPr>
  </w:style>
  <w:style w:type="character" w:styleId="1053" w:customStyle="1">
    <w:name w:val="明显参考1"/>
    <w:uiPriority w:val="0"/>
    <w:qFormat/>
    <w:rPr>
      <w:b/>
      <w:bCs/>
      <w:smallCaps/>
      <w:color w:val="c0504d"/>
      <w:spacing w:val="5"/>
      <w:u w:val="single"/>
    </w:rPr>
  </w:style>
  <w:style w:type="character" w:styleId="1054" w:customStyle="1">
    <w:name w:val="超链接_0"/>
    <w:uiPriority w:val="99"/>
    <w:qFormat/>
    <w:rPr>
      <w:rFonts w:ascii="Calibri" w:hAnsi="Calibri"/>
      <w:color w:val="0000ff"/>
      <w:u w:val="single"/>
    </w:rPr>
  </w:style>
  <w:style w:type="character" w:styleId="1055" w:customStyle="1">
    <w:name w:val="文档结构图 Char2"/>
    <w:uiPriority w:val="99"/>
    <w:semiHidden/>
    <w:qFormat/>
    <w:rPr>
      <w:rFonts w:ascii="宋体" w:hAnsi="Calibri" w:eastAsia="宋体" w:cs="Times New Roman"/>
      <w:sz w:val="18"/>
      <w:szCs w:val="18"/>
    </w:rPr>
  </w:style>
  <w:style w:type="character" w:styleId="1056" w:customStyle="1">
    <w:name w:val="textcontents"/>
    <w:uiPriority w:val="0"/>
    <w:qFormat/>
    <w:rPr>
      <w:rFonts w:cs="Times New Roman"/>
    </w:rPr>
  </w:style>
  <w:style w:type="character" w:styleId="1057" w:customStyle="1">
    <w:name w:val="标题 1 Char"/>
    <w:uiPriority w:val="0"/>
    <w:qFormat/>
    <w:rPr>
      <w:b/>
      <w:bCs/>
      <w:sz w:val="32"/>
      <w:szCs w:val="44"/>
    </w:rPr>
  </w:style>
  <w:style w:type="character" w:styleId="1058" w:customStyle="1">
    <w:name w:val="正文文本 字符"/>
    <w:link w:val="803"/>
    <w:uiPriority w:val="0"/>
    <w:qFormat/>
    <w:rPr>
      <w:rFonts w:eastAsia="幼圆"/>
      <w:b/>
      <w:bCs/>
      <w:sz w:val="44"/>
      <w:szCs w:val="24"/>
    </w:rPr>
  </w:style>
  <w:style w:type="character" w:styleId="1059" w:customStyle="1">
    <w:name w:val="标题 8 字符"/>
    <w:link w:val="790"/>
    <w:uiPriority w:val="0"/>
    <w:qFormat/>
    <w:rPr>
      <w:rFonts w:ascii="Cambria" w:hAnsi="Cambria" w:eastAsia="宋体" w:cs="Times New Roman"/>
      <w:sz w:val="24"/>
      <w:szCs w:val="24"/>
    </w:rPr>
  </w:style>
  <w:style w:type="character" w:styleId="1060" w:customStyle="1">
    <w:name w:val="副标题 Char1"/>
    <w:uiPriority w:val="11"/>
    <w:qFormat/>
    <w:rPr>
      <w:rFonts w:ascii="Cambria" w:hAnsi="Cambria" w:cs="Times New Roman"/>
      <w:b/>
      <w:bCs/>
      <w:sz w:val="32"/>
      <w:szCs w:val="32"/>
    </w:rPr>
  </w:style>
  <w:style w:type="character" w:styleId="1061" w:customStyle="1">
    <w:name w:val="批注主题 字符"/>
    <w:link w:val="829"/>
    <w:uiPriority w:val="0"/>
    <w:qFormat/>
    <w:rPr>
      <w:b/>
      <w:bCs/>
      <w:sz w:val="21"/>
      <w:szCs w:val="24"/>
    </w:rPr>
  </w:style>
  <w:style w:type="character" w:styleId="1062" w:customStyle="1">
    <w:name w:val="书籍标题1"/>
    <w:uiPriority w:val="0"/>
    <w:qFormat/>
    <w:rPr>
      <w:b/>
      <w:bCs/>
      <w:smallCaps/>
      <w:spacing w:val="5"/>
    </w:rPr>
  </w:style>
  <w:style w:type="character" w:styleId="1063" w:customStyle="1">
    <w:name w:val="页脚 字符"/>
    <w:link w:val="813"/>
    <w:uiPriority w:val="99"/>
    <w:qFormat/>
    <w:rPr>
      <w:sz w:val="18"/>
      <w:szCs w:val="18"/>
    </w:rPr>
  </w:style>
  <w:style w:type="character" w:styleId="1064" w:customStyle="1">
    <w:name w:val="标题4 Char Char"/>
    <w:link w:val="1065"/>
    <w:uiPriority w:val="0"/>
    <w:qFormat/>
    <w:rPr>
      <w:rFonts w:ascii="Arial" w:hAnsi="Arial"/>
      <w:b/>
      <w:bCs/>
      <w:sz w:val="24"/>
      <w:szCs w:val="32"/>
    </w:rPr>
  </w:style>
  <w:style w:type="paragraph" w:styleId="1065" w:customStyle="1">
    <w:name w:val="标题4"/>
    <w:basedOn w:val="784"/>
    <w:next w:val="804"/>
    <w:link w:val="1064"/>
    <w:uiPriority w:val="0"/>
    <w:qFormat/>
    <w:pPr>
      <w:numPr>
        <w:ilvl w:val="0"/>
        <w:numId w:val="0"/>
      </w:numPr>
      <w:spacing w:line="413" w:lineRule="auto"/>
    </w:pPr>
    <w:rPr>
      <w:rFonts w:ascii="Arial" w:hAnsi="Arial"/>
      <w:sz w:val="24"/>
    </w:rPr>
  </w:style>
  <w:style w:type="character" w:styleId="1066" w:customStyle="1">
    <w:name w:val="正文文本 Char1"/>
    <w:uiPriority w:val="0"/>
    <w:qFormat/>
    <w:rPr>
      <w:rFonts w:ascii="Calibri" w:hAnsi="Calibri" w:eastAsia="宋体" w:cs="Times New Roman"/>
    </w:rPr>
  </w:style>
  <w:style w:type="character" w:styleId="1067" w:customStyle="1">
    <w:name w:val="明显引用 Char1"/>
    <w:uiPriority w:val="30"/>
    <w:qFormat/>
    <w:rPr>
      <w:b/>
      <w:bCs/>
      <w:i/>
      <w:iCs/>
      <w:color w:val="4f81bd"/>
      <w:sz w:val="21"/>
    </w:rPr>
  </w:style>
  <w:style w:type="character" w:styleId="1068" w:customStyle="1">
    <w:name w:val="页眉 Char1"/>
    <w:uiPriority w:val="99"/>
    <w:semiHidden/>
    <w:qFormat/>
    <w:rPr>
      <w:rFonts w:ascii="Calibri" w:hAnsi="Calibri" w:eastAsia="宋体" w:cs="Times New Roman"/>
      <w:sz w:val="18"/>
      <w:szCs w:val="18"/>
    </w:rPr>
  </w:style>
  <w:style w:type="character" w:styleId="1069" w:customStyle="1">
    <w:name w:val="不明显强调1"/>
    <w:uiPriority w:val="0"/>
    <w:qFormat/>
    <w:rPr>
      <w:i/>
      <w:iCs/>
      <w:color w:val="808080"/>
    </w:rPr>
  </w:style>
  <w:style w:type="character" w:styleId="1070" w:customStyle="1">
    <w:name w:val="正文文本 3 字符"/>
    <w:link w:val="802"/>
    <w:uiPriority w:val="0"/>
    <w:qFormat/>
    <w:rPr>
      <w:rFonts w:ascii="宋体"/>
      <w:sz w:val="24"/>
    </w:rPr>
  </w:style>
  <w:style w:type="character" w:styleId="1071" w:customStyle="1">
    <w:name w:val="正文文本缩进 3 字符"/>
    <w:link w:val="822"/>
    <w:uiPriority w:val="0"/>
    <w:qFormat/>
    <w:rPr>
      <w:sz w:val="16"/>
    </w:rPr>
  </w:style>
  <w:style w:type="character" w:styleId="1072" w:customStyle="1">
    <w:name w:val="font21"/>
    <w:uiPriority w:val="0"/>
    <w:qFormat/>
    <w:rPr>
      <w:rFonts w:hint="eastAsia" w:ascii="宋体" w:hAnsi="宋体" w:eastAsia="宋体" w:cs="宋体"/>
      <w:color w:val="000000"/>
      <w:sz w:val="20"/>
      <w:szCs w:val="20"/>
      <w:u w:val="none"/>
    </w:rPr>
  </w:style>
  <w:style w:type="character" w:styleId="1073" w:customStyle="1">
    <w:name w:val="批注框文本 字符"/>
    <w:link w:val="812"/>
    <w:uiPriority w:val="0"/>
    <w:qFormat/>
    <w:rPr>
      <w:sz w:val="18"/>
      <w:szCs w:val="18"/>
    </w:rPr>
  </w:style>
  <w:style w:type="character" w:styleId="1074" w:customStyle="1">
    <w:name w:val="标题 7 字符"/>
    <w:link w:val="789"/>
    <w:uiPriority w:val="0"/>
    <w:qFormat/>
    <w:rPr>
      <w:b/>
      <w:bCs/>
      <w:sz w:val="24"/>
      <w:szCs w:val="24"/>
    </w:rPr>
  </w:style>
  <w:style w:type="character" w:styleId="1075" w:customStyle="1">
    <w:name w:val="文档结构图 Char1"/>
    <w:uiPriority w:val="0"/>
    <w:qFormat/>
    <w:rPr>
      <w:rFonts w:ascii="宋体" w:hAnsi="Calibri" w:eastAsia="宋体" w:cs="Times New Roman"/>
      <w:sz w:val="18"/>
      <w:szCs w:val="18"/>
    </w:rPr>
  </w:style>
  <w:style w:type="character" w:styleId="1076" w:customStyle="1">
    <w:name w:val="标题 2 Char_0"/>
    <w:link w:val="1077"/>
    <w:uiPriority w:val="0"/>
    <w:qFormat/>
    <w:rPr>
      <w:rFonts w:ascii="Cambria" w:hAnsi="Cambria"/>
      <w:b/>
      <w:bCs/>
      <w:sz w:val="32"/>
      <w:szCs w:val="32"/>
    </w:rPr>
  </w:style>
  <w:style w:type="paragraph" w:styleId="1077" w:customStyle="1">
    <w:name w:val="标题 2_0"/>
    <w:basedOn w:val="1003"/>
    <w:next w:val="1003"/>
    <w:link w:val="1076"/>
    <w:uiPriority w:val="0"/>
    <w:unhideWhenUsed/>
    <w:qFormat/>
    <w:pPr>
      <w:keepLines/>
      <w:keepNext/>
      <w:spacing w:before="260" w:after="260" w:line="416" w:lineRule="auto"/>
      <w:outlineLvl w:val="1"/>
    </w:pPr>
    <w:rPr>
      <w:rFonts w:ascii="Cambria" w:hAnsi="Cambria"/>
      <w:b/>
      <w:bCs/>
      <w:sz w:val="32"/>
      <w:szCs w:val="32"/>
    </w:rPr>
  </w:style>
  <w:style w:type="character" w:styleId="1078" w:customStyle="1">
    <w:name w:val="日期 Char2"/>
    <w:uiPriority w:val="99"/>
    <w:semiHidden/>
    <w:qFormat/>
    <w:rPr>
      <w:rFonts w:ascii="Calibri" w:hAnsi="Calibri" w:eastAsia="宋体" w:cs="Times New Roman"/>
    </w:rPr>
  </w:style>
  <w:style w:type="character" w:styleId="1079" w:customStyle="1">
    <w:name w:val="批注框文本 Char2"/>
    <w:uiPriority w:val="99"/>
    <w:semiHidden/>
    <w:qFormat/>
    <w:rPr>
      <w:rFonts w:ascii="Calibri" w:hAnsi="Calibri" w:eastAsia="宋体" w:cs="Times New Roman"/>
      <w:sz w:val="18"/>
      <w:szCs w:val="18"/>
    </w:rPr>
  </w:style>
  <w:style w:type="character" w:styleId="1080" w:customStyle="1">
    <w:name w:val="标题 4 字符"/>
    <w:link w:val="786"/>
    <w:uiPriority w:val="0"/>
    <w:qFormat/>
    <w:rPr>
      <w:rFonts w:ascii="Cambria" w:hAnsi="Cambria" w:eastAsia="宋体" w:cs="Times New Roman"/>
      <w:b/>
      <w:bCs/>
      <w:sz w:val="28"/>
      <w:szCs w:val="28"/>
    </w:rPr>
  </w:style>
  <w:style w:type="character" w:styleId="1081" w:customStyle="1">
    <w:name w:val="列出段落 Char"/>
    <w:link w:val="1082"/>
    <w:uiPriority w:val="99"/>
    <w:qFormat/>
    <w:rPr>
      <w:sz w:val="21"/>
      <w:szCs w:val="24"/>
    </w:rPr>
  </w:style>
  <w:style w:type="paragraph" w:styleId="1082" w:customStyle="1">
    <w:name w:val="List Paragraph1"/>
    <w:basedOn w:val="782"/>
    <w:link w:val="1081"/>
    <w:uiPriority w:val="99"/>
    <w:qFormat/>
    <w:pPr>
      <w:ind w:firstLine="420"/>
    </w:pPr>
  </w:style>
  <w:style w:type="paragraph" w:styleId="1083" w:customStyle="1">
    <w:name w:val="样式 标题 3 + (中文) 黑体 小四 非加粗 段前: 7.8 磅 段后: 0 磅 行距: 固定值 20 磅"/>
    <w:basedOn w:val="785"/>
    <w:next w:val="782"/>
    <w:uiPriority w:val="0"/>
    <w:qFormat/>
    <w:pPr>
      <w:spacing w:before="0" w:after="0" w:line="400" w:lineRule="exact"/>
    </w:pPr>
    <w:rPr>
      <w:rFonts w:eastAsia="黑体" w:cs="宋体"/>
      <w:b w:val="0"/>
      <w:bCs w:val="0"/>
      <w:sz w:val="24"/>
      <w:szCs w:val="20"/>
    </w:rPr>
  </w:style>
  <w:style w:type="paragraph" w:styleId="1084" w:customStyle="1">
    <w:name w:val="_Style 34"/>
    <w:next w:val="782"/>
    <w:uiPriority w:val="0"/>
    <w:qFormat/>
    <w:pPr>
      <w:jc w:val="both"/>
      <w:widowControl w:val="off"/>
    </w:pPr>
    <w:rPr>
      <w:rFonts w:ascii="Times New Roman" w:hAnsi="Times New Roman" w:eastAsia="宋体" w:cs="Times New Roman"/>
      <w:sz w:val="21"/>
      <w:lang w:val="en-US" w:eastAsia="zh-CN" w:bidi="ar-SA"/>
    </w:rPr>
  </w:style>
  <w:style w:type="paragraph" w:styleId="108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86" w:customStyle="1">
    <w:name w:val="_Style 36"/>
    <w:next w:val="782"/>
    <w:uiPriority w:val="0"/>
    <w:qFormat/>
    <w:pPr>
      <w:jc w:val="both"/>
      <w:widowControl w:val="off"/>
    </w:pPr>
    <w:rPr>
      <w:rFonts w:ascii="Times New Roman" w:hAnsi="Times New Roman" w:eastAsia="宋体" w:cs="Times New Roman"/>
      <w:sz w:val="21"/>
      <w:lang w:val="en-US" w:eastAsia="zh-CN" w:bidi="ar-SA"/>
    </w:rPr>
  </w:style>
  <w:style w:type="paragraph" w:styleId="1087" w:customStyle="1">
    <w:name w:val="空半行"/>
    <w:basedOn w:val="782"/>
    <w:uiPriority w:val="0"/>
    <w:qFormat/>
    <w:pPr>
      <w:spacing w:line="120" w:lineRule="exact"/>
    </w:pPr>
    <w:rPr>
      <w:rFonts w:ascii="Calibri" w:hAnsi="Calibri" w:eastAsia="仿宋_GB2312"/>
      <w:color w:val="ffffff"/>
      <w:sz w:val="30"/>
      <w:szCs w:val="22"/>
    </w:rPr>
  </w:style>
  <w:style w:type="paragraph" w:styleId="1088" w:customStyle="1">
    <w:name w:val="1方案格式1"/>
    <w:basedOn w:val="783"/>
    <w:uiPriority w:val="0"/>
    <w:qFormat/>
    <w:pPr>
      <w:numPr>
        <w:numId w:val="2"/>
      </w:numPr>
      <w:ind w:left="0" w:firstLine="0"/>
      <w:spacing w:line="360" w:lineRule="auto"/>
      <w:tabs>
        <w:tab w:val="left" w:pos="360" w:leader="none"/>
      </w:tabs>
    </w:pPr>
    <w:rPr>
      <w:rFonts w:eastAsia="微软雅黑"/>
      <w:bCs w:val="0"/>
      <w:sz w:val="48"/>
    </w:rPr>
  </w:style>
  <w:style w:type="paragraph" w:styleId="1089" w:customStyle="1">
    <w:name w:val="格式３"/>
    <w:basedOn w:val="782"/>
    <w:uiPriority w:val="0"/>
    <w:qFormat/>
    <w:pPr>
      <w:ind w:left="600" w:hanging="600"/>
      <w:spacing w:line="420" w:lineRule="exact"/>
    </w:pPr>
    <w:rPr>
      <w:rFonts w:ascii="宋体" w:hAnsi="宋体"/>
      <w:color w:val="000000"/>
      <w:sz w:val="24"/>
      <w:szCs w:val="20"/>
    </w:rPr>
  </w:style>
  <w:style w:type="paragraph" w:styleId="1090" w:customStyle="1">
    <w:name w:val="列出段落1"/>
    <w:basedOn w:val="782"/>
    <w:uiPriority w:val="34"/>
    <w:qFormat/>
    <w:pPr>
      <w:contextualSpacing/>
      <w:ind w:left="720"/>
      <w:jc w:val="left"/>
      <w:widowControl/>
    </w:pPr>
    <w:rPr>
      <w:rFonts w:ascii="Arial" w:hAnsi="Arial" w:eastAsia="黑体"/>
      <w:sz w:val="24"/>
      <w:lang w:eastAsia="en-US"/>
    </w:rPr>
  </w:style>
  <w:style w:type="paragraph" w:styleId="1091" w:customStyle="1">
    <w:name w:val="正文空2字"/>
    <w:basedOn w:val="782"/>
    <w:uiPriority w:val="0"/>
    <w:qFormat/>
    <w:pPr>
      <w:ind w:firstLine="200"/>
      <w:spacing w:line="360" w:lineRule="auto"/>
    </w:pPr>
    <w:rPr>
      <w:sz w:val="24"/>
      <w:lang w:bidi="en-US"/>
    </w:rPr>
  </w:style>
  <w:style w:type="paragraph" w:styleId="109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93" w:customStyle="1">
    <w:name w:val="目录 5_0"/>
    <w:basedOn w:val="1003"/>
    <w:next w:val="1003"/>
    <w:uiPriority w:val="39"/>
    <w:qFormat/>
    <w:pPr>
      <w:ind w:left="1680"/>
    </w:pPr>
    <w:rPr>
      <w:rFonts w:ascii="Calibri" w:hAnsi="Calibri"/>
    </w:rPr>
  </w:style>
  <w:style w:type="paragraph" w:styleId="1094" w:customStyle="1">
    <w:name w:val="修订1"/>
    <w:uiPriority w:val="0"/>
    <w:qFormat/>
    <w:rPr>
      <w:rFonts w:ascii="Times New Roman" w:hAnsi="Times New Roman" w:eastAsia="宋体" w:cs="Times New Roman"/>
      <w:sz w:val="21"/>
      <w:szCs w:val="24"/>
      <w:lang w:val="en-US" w:eastAsia="zh-CN" w:bidi="ar-SA"/>
    </w:rPr>
  </w:style>
  <w:style w:type="paragraph" w:styleId="1095" w:customStyle="1">
    <w:name w:val="标题 11"/>
    <w:basedOn w:val="991"/>
    <w:next w:val="99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96" w:customStyle="1">
    <w:name w:val="正文 + 行距: 固定值 20 磅"/>
    <w:basedOn w:val="782"/>
    <w:uiPriority w:val="0"/>
    <w:qFormat/>
    <w:pPr>
      <w:ind w:firstLine="716"/>
      <w:spacing w:line="400" w:lineRule="exact"/>
    </w:pPr>
    <w:rPr>
      <w:rFonts w:ascii="Calibri" w:hAnsi="Calibri"/>
      <w:szCs w:val="22"/>
    </w:rPr>
  </w:style>
  <w:style w:type="paragraph" w:styleId="1097" w:customStyle="1">
    <w:name w:val="TOC 标题11"/>
    <w:basedOn w:val="783"/>
    <w:next w:val="78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98" w:customStyle="1">
    <w:name w:val="表格文字"/>
    <w:basedOn w:val="782"/>
    <w:link w:val="1129"/>
    <w:uiPriority w:val="0"/>
    <w:qFormat/>
    <w:pPr>
      <w:jc w:val="left"/>
      <w:spacing w:line="420" w:lineRule="atLeast"/>
    </w:pPr>
    <w:rPr>
      <w:rFonts w:ascii="Calibri" w:hAnsi="Calibri"/>
      <w:szCs w:val="22"/>
    </w:rPr>
  </w:style>
  <w:style w:type="paragraph" w:styleId="1099" w:customStyle="1">
    <w:name w:val="flNote"/>
    <w:basedOn w:val="782"/>
    <w:uiPriority w:val="0"/>
    <w:qFormat/>
    <w:pPr>
      <w:jc w:val="center"/>
      <w:spacing w:before="320" w:after="160" w:line="360" w:lineRule="atLeast"/>
    </w:pPr>
    <w:rPr>
      <w:rFonts w:ascii="Arial" w:hAnsi="Calibri" w:eastAsia="黑体"/>
      <w:sz w:val="30"/>
      <w:szCs w:val="22"/>
    </w:rPr>
  </w:style>
  <w:style w:type="paragraph" w:styleId="1100" w:customStyle="1">
    <w:name w:val="文章正文"/>
    <w:basedOn w:val="782"/>
    <w:uiPriority w:val="99"/>
    <w:qFormat/>
    <w:pPr>
      <w:ind w:firstLine="480"/>
      <w:spacing w:line="360" w:lineRule="auto"/>
    </w:pPr>
    <w:rPr>
      <w:rFonts w:ascii="仿宋_GB2312" w:hAnsi="宋体" w:eastAsia="仿宋_GB2312"/>
      <w:color w:val="ff0000"/>
      <w:sz w:val="24"/>
    </w:rPr>
  </w:style>
  <w:style w:type="paragraph" w:styleId="1101" w:customStyle="1">
    <w:name w:val="表格"/>
    <w:basedOn w:val="782"/>
    <w:uiPriority w:val="0"/>
    <w:qFormat/>
    <w:pPr>
      <w:jc w:val="center"/>
    </w:pPr>
    <w:rPr>
      <w:rFonts w:ascii="华文细黑" w:hAnsi="华文细黑"/>
      <w:szCs w:val="22"/>
    </w:rPr>
  </w:style>
  <w:style w:type="paragraph" w:styleId="1102" w:customStyle="1">
    <w:name w:val="Char"/>
    <w:basedOn w:val="782"/>
    <w:uiPriority w:val="0"/>
    <w:qFormat/>
    <w:pPr>
      <w:jc w:val="left"/>
      <w:spacing w:after="160" w:line="240" w:lineRule="exact"/>
      <w:widowControl/>
    </w:pPr>
    <w:rPr>
      <w:rFonts w:ascii="Verdana" w:hAnsi="Verdana"/>
      <w:sz w:val="20"/>
      <w:szCs w:val="20"/>
      <w:lang w:eastAsia="en-US"/>
    </w:rPr>
  </w:style>
  <w:style w:type="paragraph" w:styleId="110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4" w:customStyle="1">
    <w:name w:val="列出段落2"/>
    <w:basedOn w:val="782"/>
    <w:uiPriority w:val="99"/>
    <w:qFormat/>
    <w:pPr>
      <w:ind w:firstLine="420"/>
    </w:pPr>
  </w:style>
  <w:style w:type="paragraph" w:styleId="1105" w:customStyle="1">
    <w:name w:val="6'"/>
    <w:basedOn w:val="782"/>
    <w:uiPriority w:val="0"/>
    <w:qFormat/>
    <w:pPr>
      <w:jc w:val="center"/>
      <w:spacing w:line="320" w:lineRule="exact"/>
    </w:pPr>
    <w:rPr>
      <w:rFonts w:ascii="Calibri" w:hAnsi="Calibri"/>
      <w:spacing w:val="20"/>
      <w:szCs w:val="22"/>
    </w:rPr>
  </w:style>
  <w:style w:type="paragraph" w:styleId="1106" w:customStyle="1">
    <w:name w:val="Char Char Char Char Char Char Char"/>
    <w:basedOn w:val="782"/>
    <w:uiPriority w:val="0"/>
    <w:qFormat/>
    <w:pPr>
      <w:spacing w:line="360" w:lineRule="auto"/>
    </w:pPr>
    <w:rPr>
      <w:sz w:val="24"/>
      <w:szCs w:val="20"/>
    </w:rPr>
  </w:style>
  <w:style w:type="paragraph" w:styleId="1107" w:customStyle="1">
    <w:name w:val="2方案格式2"/>
    <w:basedOn w:val="1088"/>
    <w:uiPriority w:val="0"/>
    <w:qFormat/>
    <w:pPr>
      <w:numPr>
        <w:ilvl w:val="1"/>
      </w:numPr>
      <w:spacing w:before="50" w:after="50" w:line="240" w:lineRule="auto"/>
      <w:outlineLvl w:val="1"/>
    </w:pPr>
    <w:rPr>
      <w:sz w:val="44"/>
    </w:rPr>
  </w:style>
  <w:style w:type="paragraph" w:styleId="110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9" w:customStyle="1">
    <w:name w:val="文档正文"/>
    <w:basedOn w:val="782"/>
    <w:uiPriority w:val="0"/>
    <w:qFormat/>
    <w:pPr>
      <w:ind w:firstLine="567"/>
      <w:spacing w:line="480" w:lineRule="atLeast"/>
    </w:pPr>
    <w:rPr>
      <w:rFonts w:ascii="Ari" w:eastAsia="Ari"/>
      <w:sz w:val="28"/>
      <w:szCs w:val="20"/>
    </w:rPr>
  </w:style>
  <w:style w:type="paragraph" w:styleId="1110" w:customStyle="1">
    <w:name w:val="txt"/>
    <w:basedOn w:val="782"/>
    <w:uiPriority w:val="0"/>
    <w:qFormat/>
    <w:pPr>
      <w:jc w:val="left"/>
      <w:spacing w:before="100" w:beforeAutospacing="1" w:after="100" w:afterAutospacing="1"/>
      <w:widowControl/>
    </w:pPr>
    <w:rPr>
      <w:rFonts w:ascii="宋体" w:hAnsi="宋体" w:cs="宋体"/>
      <w:sz w:val="24"/>
    </w:rPr>
  </w:style>
  <w:style w:type="paragraph" w:styleId="1111" w:customStyle="1">
    <w:name w:val="目录 4_0"/>
    <w:basedOn w:val="1003"/>
    <w:next w:val="1003"/>
    <w:uiPriority w:val="39"/>
    <w:qFormat/>
    <w:pPr>
      <w:ind w:left="1260"/>
    </w:pPr>
    <w:rPr>
      <w:rFonts w:ascii="Calibri" w:hAnsi="Calibri"/>
    </w:rPr>
  </w:style>
  <w:style w:type="paragraph" w:styleId="1112" w:customStyle="1">
    <w:name w:val="目录 3_0"/>
    <w:basedOn w:val="1003"/>
    <w:next w:val="1003"/>
    <w:uiPriority w:val="39"/>
    <w:qFormat/>
    <w:pPr>
      <w:ind w:left="840"/>
    </w:pPr>
    <w:rPr>
      <w:rFonts w:ascii="Calibri" w:hAnsi="Calibri"/>
    </w:rPr>
  </w:style>
  <w:style w:type="paragraph" w:styleId="1113" w:customStyle="1">
    <w:name w:val="样式 标题 1 + 黑体 三号 非加粗 居中 段前: 6 磅 段后: 6 磅 行距: 固定值 20 磅"/>
    <w:basedOn w:val="783"/>
    <w:uiPriority w:val="0"/>
    <w:qFormat/>
    <w:pPr>
      <w:numPr>
        <w:numId w:val="0"/>
      </w:numPr>
      <w:spacing w:before="120" w:after="120" w:line="400" w:lineRule="exact"/>
    </w:pPr>
    <w:rPr>
      <w:rFonts w:ascii="黑体" w:hAnsi="黑体" w:eastAsia="黑体"/>
      <w:b w:val="0"/>
      <w:bCs w:val="0"/>
      <w:szCs w:val="20"/>
    </w:rPr>
  </w:style>
  <w:style w:type="paragraph" w:styleId="1114" w:customStyle="1">
    <w:name w:val="1"/>
    <w:basedOn w:val="782"/>
    <w:next w:val="782"/>
    <w:uiPriority w:val="0"/>
    <w:qFormat/>
    <w:rPr>
      <w:rFonts w:ascii="Calibri" w:hAnsi="Calibri"/>
      <w:szCs w:val="22"/>
    </w:rPr>
  </w:style>
  <w:style w:type="paragraph" w:styleId="1115" w:customStyle="1">
    <w:name w:val="Blockquote_0"/>
    <w:basedOn w:val="1003"/>
    <w:uiPriority w:val="0"/>
    <w:qFormat/>
    <w:pPr>
      <w:ind w:left="360" w:right="360"/>
      <w:jc w:val="left"/>
      <w:spacing w:before="100" w:after="100"/>
    </w:pPr>
    <w:rPr>
      <w:rFonts w:ascii="Calibri" w:hAnsi="Calibri" w:eastAsia="Times New Roman"/>
      <w:sz w:val="24"/>
      <w:szCs w:val="20"/>
    </w:rPr>
  </w:style>
  <w:style w:type="paragraph" w:styleId="1116" w:customStyle="1">
    <w:name w:val="列出段落11"/>
    <w:basedOn w:val="782"/>
    <w:uiPriority w:val="0"/>
    <w:qFormat/>
    <w:pPr>
      <w:contextualSpacing/>
      <w:ind w:left="720"/>
      <w:jc w:val="left"/>
      <w:widowControl/>
    </w:pPr>
    <w:rPr>
      <w:rFonts w:ascii="Arial" w:hAnsi="Arial" w:eastAsia="黑体"/>
      <w:sz w:val="24"/>
      <w:lang w:eastAsia="en-US"/>
    </w:rPr>
  </w:style>
  <w:style w:type="paragraph" w:styleId="1117" w:customStyle="1">
    <w:name w:val="样式 标题 2 + Times New Roman 四号 非加粗 段前: 5 磅 段后: 0 磅 行距: 固定值 20..._0"/>
    <w:basedOn w:val="782"/>
    <w:uiPriority w:val="0"/>
    <w:qFormat/>
    <w:pPr>
      <w:keepLines/>
      <w:keepNext/>
      <w:spacing w:before="100" w:line="360" w:lineRule="auto"/>
      <w:outlineLvl w:val="1"/>
    </w:pPr>
    <w:rPr>
      <w:rFonts w:eastAsia="Times New Roman" w:cs="宋体"/>
      <w:sz w:val="28"/>
      <w:szCs w:val="20"/>
    </w:rPr>
  </w:style>
  <w:style w:type="paragraph" w:styleId="1118" w:customStyle="1">
    <w:name w:val="op_mapdots_left"/>
    <w:basedOn w:val="782"/>
    <w:uiPriority w:val="0"/>
    <w:qFormat/>
    <w:pPr>
      <w:jc w:val="left"/>
      <w:spacing w:before="100" w:beforeAutospacing="1" w:after="100" w:afterAutospacing="1"/>
      <w:widowControl/>
    </w:pPr>
    <w:rPr>
      <w:rFonts w:ascii="宋体" w:hAnsi="宋体" w:cs="宋体"/>
      <w:sz w:val="24"/>
    </w:rPr>
  </w:style>
  <w:style w:type="paragraph" w:styleId="1119" w:customStyle="1">
    <w:name w:val="p0"/>
    <w:basedOn w:val="782"/>
    <w:uiPriority w:val="0"/>
    <w:qFormat/>
    <w:pPr>
      <w:widowControl/>
    </w:pPr>
    <w:rPr>
      <w:b/>
      <w:bCs/>
      <w:sz w:val="24"/>
    </w:rPr>
  </w:style>
  <w:style w:type="paragraph" w:styleId="1120" w:customStyle="1">
    <w:name w:val="Blockquote"/>
    <w:basedOn w:val="782"/>
    <w:uiPriority w:val="0"/>
    <w:qFormat/>
    <w:pPr>
      <w:ind w:left="360" w:right="360"/>
      <w:jc w:val="left"/>
      <w:spacing w:before="100" w:after="100"/>
    </w:pPr>
    <w:rPr>
      <w:rFonts w:ascii="Calibri" w:hAnsi="Calibri"/>
      <w:sz w:val="24"/>
      <w:szCs w:val="22"/>
    </w:rPr>
  </w:style>
  <w:style w:type="paragraph" w:styleId="1121" w:customStyle="1">
    <w:name w:val="3方案格式3"/>
    <w:basedOn w:val="1107"/>
    <w:uiPriority w:val="0"/>
    <w:qFormat/>
    <w:pPr>
      <w:numPr>
        <w:ilvl w:val="2"/>
      </w:numPr>
      <w:outlineLvl w:val="2"/>
    </w:pPr>
    <w:rPr>
      <w:sz w:val="32"/>
    </w:rPr>
  </w:style>
  <w:style w:type="paragraph" w:styleId="1122" w:customStyle="1">
    <w:name w:val="样式 标题 2 + Times New Roman 四号 非加粗 段前: 5 磅 段后: 0 磅 行距: 固定值 20..."/>
    <w:basedOn w:val="78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23" w:customStyle="1">
    <w:name w:val="标题2"/>
    <w:basedOn w:val="784"/>
    <w:next w:val="803"/>
    <w:uiPriority w:val="0"/>
    <w:qFormat/>
    <w:pPr>
      <w:spacing w:before="156" w:after="156" w:line="360" w:lineRule="auto"/>
    </w:pPr>
    <w:rPr>
      <w:bCs w:val="0"/>
      <w:sz w:val="24"/>
    </w:rPr>
  </w:style>
  <w:style w:type="paragraph" w:styleId="1124" w:customStyle="1">
    <w:name w:val="普通正文"/>
    <w:basedOn w:val="782"/>
    <w:uiPriority w:val="0"/>
    <w:qFormat/>
    <w:pPr>
      <w:ind w:firstLine="480"/>
      <w:jc w:val="left"/>
      <w:spacing w:before="120" w:after="120" w:line="360" w:lineRule="auto"/>
    </w:pPr>
    <w:rPr>
      <w:rFonts w:ascii="Arial" w:hAnsi="Arial"/>
      <w:sz w:val="24"/>
    </w:rPr>
  </w:style>
  <w:style w:type="paragraph" w:styleId="1125" w:customStyle="1">
    <w:name w:val="正文11"/>
    <w:uiPriority w:val="0"/>
    <w:qFormat/>
    <w:rPr>
      <w:rFonts w:ascii="Calibri" w:hAnsi="Calibri" w:eastAsia="宋体" w:cs="Calibri"/>
      <w:sz w:val="24"/>
      <w:szCs w:val="24"/>
      <w:lang w:val="en-US" w:eastAsia="zh-CN" w:bidi="ar-SA"/>
    </w:rPr>
  </w:style>
  <w:style w:type="paragraph" w:styleId="1126" w:customStyle="1">
    <w:name w:val="正文2"/>
    <w:uiPriority w:val="0"/>
    <w:qFormat/>
    <w:rPr>
      <w:rFonts w:ascii="Times New Roman" w:hAnsi="Times New Roman" w:eastAsia="微软雅黑" w:cs="Times New Roman"/>
      <w:sz w:val="24"/>
      <w:szCs w:val="24"/>
      <w:lang w:val="en-US" w:eastAsia="zh-CN" w:bidi="ar-SA"/>
    </w:rPr>
  </w:style>
  <w:style w:type="paragraph" w:styleId="1127" w:customStyle="1">
    <w:name w:val="列出段落3"/>
    <w:basedOn w:val="782"/>
    <w:uiPriority w:val="34"/>
    <w:qFormat/>
    <w:pPr>
      <w:ind w:firstLine="420"/>
      <w:jc w:val="left"/>
      <w:spacing w:after="200"/>
      <w:widowControl/>
    </w:pPr>
    <w:rPr>
      <w:rFonts w:ascii="Tahoma" w:hAnsi="Tahoma" w:eastAsia="微软雅黑"/>
      <w:sz w:val="22"/>
      <w:szCs w:val="22"/>
    </w:rPr>
  </w:style>
  <w:style w:type="paragraph" w:styleId="1128" w:customStyle="1">
    <w:name w:val="纯文本2"/>
    <w:basedOn w:val="782"/>
    <w:uiPriority w:val="0"/>
    <w:qFormat/>
    <w:pPr>
      <w:jc w:val="left"/>
    </w:pPr>
    <w:rPr>
      <w:rFonts w:hint="eastAsia" w:ascii="宋体" w:hAnsi="宋体" w:cs="Courier New"/>
      <w:sz w:val="24"/>
      <w:szCs w:val="20"/>
      <w:lang w:bidi="hi-IN"/>
    </w:rPr>
  </w:style>
  <w:style w:type="character" w:styleId="1129" w:customStyle="1">
    <w:name w:val="表格文字 字符"/>
    <w:link w:val="1098"/>
    <w:uiPriority w:val="0"/>
    <w:qFormat/>
    <w:rPr>
      <w:rFonts w:ascii="Calibri" w:hAnsi="Calibri" w:eastAsia="宋体" w:cs="Times New Roman"/>
      <w:sz w:val="21"/>
      <w:szCs w:val="22"/>
    </w:rPr>
  </w:style>
  <w:style w:type="paragraph" w:styleId="1130" w:customStyle="1">
    <w:name w:val="trs_editor"/>
    <w:basedOn w:val="782"/>
    <w:uiPriority w:val="0"/>
    <w:qFormat/>
    <w:pPr>
      <w:jc w:val="left"/>
      <w:spacing w:before="100" w:beforeAutospacing="1" w:after="100" w:afterAutospacing="1"/>
      <w:widowControl/>
    </w:pPr>
    <w:rPr>
      <w:rFonts w:ascii="宋体" w:hAnsi="宋体" w:cs="宋体"/>
      <w:sz w:val="24"/>
    </w:rPr>
  </w:style>
  <w:style w:type="paragraph" w:styleId="1131" w:customStyle="1">
    <w:name w:val="标题二级"/>
    <w:basedOn w:val="782"/>
    <w:uiPriority w:val="0"/>
    <w:qFormat/>
    <w:pPr>
      <w:ind w:firstLine="412"/>
    </w:pPr>
    <w:rPr>
      <w:rFonts w:ascii="宋体" w:hAnsi="宋体"/>
      <w:szCs w:val="21"/>
    </w:rPr>
  </w:style>
  <w:style w:type="paragraph" w:styleId="1132"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33"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34" w:customStyle="1">
    <w:name w:val="无"/>
    <w:uiPriority w:val="0"/>
    <w:qFormat/>
  </w:style>
  <w:style w:type="paragraph" w:styleId="1135" w:customStyle="1">
    <w:name w:val="Heading #2|1"/>
    <w:basedOn w:val="782"/>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36" w:customStyle="1">
    <w:name w:val="Body text|1"/>
    <w:basedOn w:val="782"/>
    <w:uiPriority w:val="0"/>
    <w:qFormat/>
    <w:pPr>
      <w:ind w:firstLine="400"/>
      <w:spacing w:line="401" w:lineRule="auto"/>
    </w:pPr>
    <w:rPr>
      <w:rFonts w:ascii="宋体" w:hAnsi="宋体" w:cs="宋体"/>
      <w:sz w:val="30"/>
      <w:szCs w:val="30"/>
      <w:lang w:val="zh-TW" w:eastAsia="zh-TW" w:bidi="zh-TW"/>
    </w:rPr>
  </w:style>
  <w:style w:type="paragraph" w:styleId="1137" w:customStyle="1">
    <w:name w:val="_Style 1931"/>
    <w:basedOn w:val="782"/>
    <w:next w:val="841"/>
    <w:uiPriority w:val="34"/>
    <w:qFormat/>
    <w:pPr>
      <w:ind w:firstLine="420"/>
    </w:pPr>
  </w:style>
  <w:style w:type="paragraph" w:styleId="1138" w:customStyle="1">
    <w:name w:val="段落"/>
    <w:basedOn w:val="782"/>
    <w:uiPriority w:val="0"/>
    <w:qFormat/>
    <w:pPr>
      <w:ind w:firstLine="480"/>
      <w:spacing w:line="460" w:lineRule="exact"/>
    </w:pPr>
    <w:rPr>
      <w:rFonts w:ascii="Calibri" w:hAnsi="Calibri"/>
      <w:sz w:val="24"/>
      <w:szCs w:val="20"/>
    </w:rPr>
  </w:style>
  <w:style w:type="paragraph" w:styleId="1139" w:customStyle="1">
    <w:name w:val="列出段落4"/>
    <w:basedOn w:val="782"/>
    <w:uiPriority w:val="99"/>
    <w:unhideWhenUsed/>
    <w:qFormat/>
    <w:pPr>
      <w:ind w:firstLine="420"/>
      <w:spacing w:line="360" w:lineRule="auto"/>
    </w:pPr>
    <w:rPr>
      <w:rFonts w:ascii="Calibri" w:hAnsi="Calibri" w:eastAsia="仿宋_GB2312"/>
      <w:sz w:val="32"/>
      <w:szCs w:val="22"/>
    </w:rPr>
  </w:style>
  <w:style w:type="paragraph" w:styleId="1140"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41" w:customStyle="1">
    <w:name w:val="正文 A"/>
    <w:next w:val="803"/>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42"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43" w:customStyle="1">
    <w:name w:val="*正文"/>
    <w:basedOn w:val="782"/>
    <w:uiPriority w:val="0"/>
    <w:qFormat/>
    <w:pPr>
      <w:spacing w:line="360" w:lineRule="auto"/>
      <w:widowControl/>
    </w:pPr>
    <w:rPr>
      <w:rFonts w:ascii="仿宋_GB2312" w:eastAsia="仿宋_GB2312"/>
      <w:sz w:val="24"/>
      <w:szCs w:val="28"/>
    </w:rPr>
  </w:style>
  <w:style w:type="table" w:styleId="1144" w:customStyle="1">
    <w:name w:val="Table Normal"/>
    <w:uiPriority w:val="0"/>
    <w:semiHidden/>
    <w:unhideWhenUsed/>
    <w:qFormat/>
    <w:tblPr>
      <w:tblCellMar>
        <w:left w:w="0" w:type="dxa"/>
        <w:top w:w="0" w:type="dxa"/>
        <w:right w:w="0" w:type="dxa"/>
        <w:bottom w:w="0" w:type="dxa"/>
      </w:tblCellMar>
    </w:tblPr>
  </w:style>
  <w:style w:type="character" w:styleId="1145" w:customStyle="1">
    <w:name w:val="form-textarea-print1"/>
    <w:uiPriority w:val="0"/>
    <w:qFormat/>
    <w:rPr>
      <w:rFonts w:hint="default" w:ascii="微软雅黑" w:hAnsi="微软雅黑" w:eastAsia="宋体" w:cs="Times New Roman"/>
      <w:sz w:val="18"/>
      <w:szCs w:val="18"/>
    </w:rPr>
  </w:style>
  <w:style w:type="character" w:styleId="1146" w:customStyle="1">
    <w:name w:val="cke_colorbox"/>
    <w:basedOn w:val="792"/>
    <w:uiPriority w:val="0"/>
    <w:qFormat/>
  </w:style>
  <w:style w:type="character" w:styleId="1147" w:customStyle="1">
    <w:name w:val="cke_colorbox1"/>
    <w:basedOn w:val="792"/>
    <w:uiPriority w:val="0"/>
    <w:qFormat/>
  </w:style>
  <w:style w:type="character" w:styleId="1148" w:customStyle="1">
    <w:name w:val="pwdtips_alert"/>
    <w:basedOn w:val="792"/>
    <w:uiPriority w:val="0"/>
    <w:qFormat/>
    <w:rPr>
      <w:shd w:val="clear" w:color="auto" w:fill="ffeaa6"/>
    </w:rPr>
  </w:style>
  <w:style w:type="character" w:styleId="1149" w:customStyle="1">
    <w:name w:val="l-btn-left"/>
    <w:basedOn w:val="792"/>
    <w:uiPriority w:val="0"/>
    <w:qFormat/>
  </w:style>
  <w:style w:type="character" w:styleId="1150" w:customStyle="1">
    <w:name w:val="l-btn-left1"/>
    <w:basedOn w:val="792"/>
    <w:uiPriority w:val="0"/>
    <w:qFormat/>
  </w:style>
  <w:style w:type="character" w:styleId="1151" w:customStyle="1">
    <w:name w:val="l-btn-left2"/>
    <w:basedOn w:val="792"/>
    <w:uiPriority w:val="0"/>
    <w:qFormat/>
  </w:style>
  <w:style w:type="character" w:styleId="1152" w:customStyle="1">
    <w:name w:val="l-btn-left3"/>
    <w:basedOn w:val="792"/>
    <w:uiPriority w:val="0"/>
    <w:qFormat/>
  </w:style>
  <w:style w:type="character" w:styleId="1153" w:customStyle="1">
    <w:name w:val="combo2"/>
    <w:basedOn w:val="792"/>
    <w:uiPriority w:val="0"/>
    <w:qFormat/>
  </w:style>
  <w:style w:type="character" w:styleId="1154" w:customStyle="1">
    <w:name w:val="l-btn-empty"/>
    <w:basedOn w:val="792"/>
    <w:uiPriority w:val="0"/>
    <w:qFormat/>
  </w:style>
  <w:style w:type="character" w:styleId="1155" w:customStyle="1">
    <w:name w:val="red"/>
    <w:basedOn w:val="792"/>
    <w:uiPriority w:val="0"/>
    <w:qFormat/>
    <w:rPr>
      <w:color w:val="ff0000"/>
    </w:rPr>
  </w:style>
  <w:style w:type="character" w:styleId="1156" w:customStyle="1">
    <w:name w:val="l-btn-text"/>
    <w:basedOn w:val="792"/>
    <w:uiPriority w:val="0"/>
    <w:qFormat/>
    <w:rPr>
      <w:color w:val="1864ac"/>
      <w:sz w:val="14"/>
      <w:szCs w:val="14"/>
    </w:rPr>
  </w:style>
  <w:style w:type="character" w:styleId="1157" w:customStyle="1">
    <w:name w:val="l-btn-text1"/>
    <w:basedOn w:val="792"/>
    <w:uiPriority w:val="0"/>
    <w:qFormat/>
  </w:style>
  <w:style w:type="character" w:styleId="1158" w:customStyle="1">
    <w:name w:val="green"/>
    <w:basedOn w:val="792"/>
    <w:uiPriority w:val="0"/>
    <w:qFormat/>
    <w:rPr>
      <w:color w:val="00a521"/>
    </w:rPr>
  </w:style>
  <w:style w:type="character" w:styleId="1159" w:customStyle="1">
    <w:name w:val="valueinfo"/>
    <w:basedOn w:val="792"/>
    <w:uiPriority w:val="0"/>
    <w:qFormat/>
    <w:rPr>
      <w:color w:val="666666"/>
    </w:rPr>
  </w:style>
  <w:style w:type="character" w:styleId="1160" w:customStyle="1">
    <w:name w:val="tree-file2"/>
    <w:basedOn w:val="792"/>
    <w:uiPriority w:val="0"/>
    <w:qFormat/>
  </w:style>
  <w:style w:type="character" w:styleId="1161" w:customStyle="1">
    <w:name w:val="vainfo"/>
    <w:basedOn w:val="792"/>
    <w:uiPriority w:val="0"/>
    <w:qFormat/>
    <w:rPr>
      <w:color w:val="ff0000"/>
      <w:shd w:val="clear" w:color="auto" w:fill="ffe4e4"/>
    </w:rPr>
  </w:style>
  <w:style w:type="character" w:styleId="1162" w:customStyle="1">
    <w:name w:val="pwdtips_ok"/>
    <w:basedOn w:val="792"/>
    <w:uiPriority w:val="0"/>
    <w:qFormat/>
    <w:rPr>
      <w:shd w:val="clear" w:color="auto" w:fill="b4ffa6"/>
    </w:rPr>
  </w:style>
  <w:style w:type="character" w:styleId="1163" w:customStyle="1">
    <w:name w:val="pwdtips_error"/>
    <w:basedOn w:val="792"/>
    <w:uiPriority w:val="0"/>
    <w:qFormat/>
    <w:rPr>
      <w:shd w:val="clear" w:color="auto" w:fill="ffa6a6"/>
    </w:rPr>
  </w:style>
  <w:style w:type="character" w:styleId="1164" w:customStyle="1">
    <w:name w:val="tree-title4"/>
    <w:basedOn w:val="792"/>
    <w:uiPriority w:val="0"/>
    <w:qFormat/>
    <w:rPr>
      <w:color w:val="1864ac"/>
    </w:rPr>
  </w:style>
  <w:style w:type="character" w:styleId="1165" w:customStyle="1">
    <w:name w:val="tree-title5"/>
    <w:basedOn w:val="792"/>
    <w:uiPriority w:val="0"/>
    <w:qFormat/>
    <w:rPr>
      <w:color w:val="ffffff"/>
      <w:shd w:val="clear" w:color="auto" w:fill="3366cc"/>
    </w:rPr>
  </w:style>
  <w:style w:type="character" w:styleId="1166" w:customStyle="1">
    <w:name w:val="info"/>
    <w:basedOn w:val="792"/>
    <w:uiPriority w:val="0"/>
    <w:qFormat/>
  </w:style>
  <w:style w:type="character" w:styleId="1167" w:customStyle="1">
    <w:name w:val="topic"/>
    <w:basedOn w:val="792"/>
    <w:uiPriority w:val="0"/>
    <w:qFormat/>
    <w:rPr>
      <w:color w:val="ff0000"/>
    </w:rPr>
  </w:style>
  <w:style w:type="paragraph" w:styleId="1168" w:customStyle="1">
    <w:name w:val="_Style 213"/>
    <w:basedOn w:val="782"/>
    <w:next w:val="841"/>
    <w:uiPriority w:val="34"/>
    <w:qFormat/>
    <w:pPr>
      <w:ind w:firstLine="420"/>
      <w:jc w:val="left"/>
      <w:spacing w:line="360" w:lineRule="atLeast"/>
    </w:pPr>
    <w:rPr>
      <w:rFonts w:ascii="Arial" w:hAnsi="Arial"/>
      <w:sz w:val="24"/>
    </w:rPr>
  </w:style>
  <w:style w:type="paragraph" w:styleId="1169"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70"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71" w:customStyle="1">
    <w:name w:val="NormalCharacter"/>
    <w:uiPriority w:val="0"/>
    <w:semiHidden/>
    <w:qFormat/>
    <w:rPr>
      <w:rFonts w:ascii="Calibri" w:hAnsi="Calibri" w:eastAsia="宋体"/>
      <w:sz w:val="21"/>
      <w:szCs w:val="24"/>
      <w:lang w:val="en-US" w:eastAsia="zh-CN" w:bidi="ar-SA"/>
    </w:rPr>
  </w:style>
  <w:style w:type="paragraph" w:styleId="1172">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73" w:customStyle="1">
    <w:name w:val="列表段落2"/>
    <w:basedOn w:val="782"/>
    <w:uiPriority w:val="0"/>
    <w:qFormat/>
    <w:pPr>
      <w:ind w:firstLine="420"/>
    </w:pPr>
    <w:rPr>
      <w:szCs w:val="21"/>
    </w:rPr>
  </w:style>
  <w:style w:type="paragraph" w:styleId="1174" w:customStyle="1">
    <w:name w:val="正文_9_0"/>
    <w:basedOn w:val="782"/>
    <w:uiPriority w:val="0"/>
    <w:qFormat/>
    <w:rPr>
      <w:szCs w:val="21"/>
    </w:rPr>
  </w:style>
  <w:style w:type="paragraph" w:styleId="1175" w:customStyle="1">
    <w:name w:val="p15"/>
    <w:basedOn w:val="782"/>
    <w:uiPriority w:val="0"/>
    <w:qFormat/>
    <w:pPr>
      <w:jc w:val="left"/>
      <w:widowControl/>
    </w:pPr>
    <w:rPr>
      <w:rFonts w:ascii="黑体" w:hAnsi="黑体" w:eastAsia="黑体" w:cs="宋体"/>
      <w:color w:val="000000"/>
      <w:sz w:val="24"/>
    </w:rPr>
  </w:style>
  <w:style w:type="paragraph" w:styleId="1176" w:customStyle="1">
    <w:name w:val="Table Text"/>
    <w:basedOn w:val="782"/>
    <w:uiPriority w:val="0"/>
    <w:semiHidden/>
    <w:qFormat/>
    <w:rPr>
      <w:rFonts w:ascii="宋体" w:hAnsi="宋体" w:cs="宋体"/>
      <w:szCs w:val="21"/>
      <w:lang w:eastAsia="en-US"/>
    </w:rPr>
  </w:style>
  <w:style w:type="paragraph" w:styleId="1177" w:customStyle="1">
    <w:name w:val="TOC 71"/>
    <w:next w:val="782"/>
    <w:uiPriority w:val="0"/>
    <w:qFormat/>
    <w:pPr>
      <w:ind w:left="2550"/>
      <w:jc w:val="both"/>
    </w:pPr>
    <w:rPr>
      <w:rFonts w:ascii="Times New Roman" w:hAnsi="Times New Roman" w:eastAsia="宋体" w:cs="Times New Roman"/>
      <w:sz w:val="21"/>
      <w:szCs w:val="22"/>
      <w:lang w:val="en-US" w:eastAsia="zh-CN" w:bidi="ar-SA"/>
    </w:rPr>
  </w:style>
  <w:style w:type="character" w:styleId="1178" w:customStyle="1">
    <w:name w:val="标题 1 字符"/>
    <w:basedOn w:val="792"/>
    <w:link w:val="783"/>
    <w:uiPriority w:val="0"/>
    <w:qFormat/>
    <w:rPr>
      <w:rFonts w:ascii="黑体" w:eastAsia="仿宋"/>
      <w:b/>
      <w:sz w:val="24"/>
      <w:szCs w:val="28"/>
    </w:rPr>
  </w:style>
  <w:style w:type="paragraph" w:styleId="1179" w:customStyle="1">
    <w:name w:val="WPSOffice手动目录 1"/>
    <w:uiPriority w:val="0"/>
    <w:qFormat/>
    <w:rPr>
      <w:rFonts w:ascii="Times New Roman" w:hAnsi="Times New Roman" w:eastAsia="宋体" w:cs="Times New Roman"/>
      <w:lang w:val="en-US" w:eastAsia="zh-CN" w:bidi="ar-SA"/>
    </w:rPr>
  </w:style>
  <w:style w:type="paragraph" w:styleId="1180" w:customStyle="1">
    <w:name w:val="WPSOffice手动目录 2"/>
    <w:uiPriority w:val="0"/>
    <w:qFormat/>
    <w:pPr>
      <w:ind w:left="200"/>
    </w:pPr>
    <w:rPr>
      <w:rFonts w:ascii="Times New Roman" w:hAnsi="Times New Roman" w:eastAsia="宋体" w:cs="Times New Roman"/>
      <w:lang w:val="en-US" w:eastAsia="zh-CN" w:bidi="ar-SA"/>
    </w:rPr>
  </w:style>
  <w:style w:type="paragraph" w:styleId="1181" w:customStyle="1">
    <w:name w:val="WPSOffice手动目录 3"/>
    <w:uiPriority w:val="0"/>
    <w:qFormat/>
    <w:pPr>
      <w:ind w:left="400"/>
    </w:pPr>
    <w:rPr>
      <w:rFonts w:ascii="Times New Roman" w:hAnsi="Times New Roman" w:eastAsia="宋体" w:cs="Times New Roman"/>
      <w:lang w:val="en-US" w:eastAsia="zh-CN" w:bidi="ar-SA"/>
    </w:rPr>
  </w:style>
  <w:style w:type="paragraph" w:styleId="1182" w:customStyle="1">
    <w:name w:val="CM24"/>
    <w:basedOn w:val="1103"/>
    <w:next w:val="1103"/>
    <w:uiPriority w:val="99"/>
    <w:unhideWhenUsed/>
    <w:qFormat/>
    <w:rPr>
      <w:rFonts w:ascii="Sim Sun" w:hAnsi="Sim Sun" w:eastAsia="Sim Sun"/>
      <w:szCs w:val="20"/>
    </w:rPr>
  </w:style>
  <w:style w:type="paragraph" w:styleId="1183" w:customStyle="1">
    <w:name w:val="CM1"/>
    <w:basedOn w:val="1103"/>
    <w:next w:val="1103"/>
    <w:uiPriority w:val="99"/>
    <w:unhideWhenUsed/>
    <w:qFormat/>
    <w:pPr>
      <w:spacing w:line="360" w:lineRule="atLeast"/>
    </w:pPr>
    <w:rPr>
      <w:rFonts w:ascii="Sim Sun" w:hAnsi="Sim Sun" w:eastAsia="Sim Sun"/>
      <w:szCs w:val="20"/>
    </w:rPr>
  </w:style>
  <w:style w:type="paragraph" w:styleId="1184" w:customStyle="1">
    <w:name w:val="UserStyle_0"/>
    <w:basedOn w:val="782"/>
    <w:uiPriority w:val="0"/>
    <w:qFormat/>
    <w:pPr>
      <w:ind w:firstLine="200"/>
      <w:spacing w:before="50" w:after="50"/>
    </w:pPr>
    <w:rPr>
      <w:rFonts w:ascii="宋体" w:hAnsi="宋体"/>
    </w:rPr>
  </w:style>
  <w:style w:type="paragraph" w:styleId="1185" w:customStyle="1">
    <w:name w:val="Table Paragraph"/>
    <w:basedOn w:val="782"/>
    <w:uiPriority w:val="1"/>
    <w:qFormat/>
  </w:style>
  <w:style w:type="paragraph" w:styleId="1186" w:customStyle="1">
    <w:name w:val="正文文本111"/>
    <w:basedOn w:val="782"/>
    <w:uiPriority w:val="1"/>
    <w:qFormat/>
    <w:pPr>
      <w:spacing w:after="120"/>
    </w:pPr>
  </w:style>
  <w:style w:type="numbering" w:styleId="104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3d840130-213b-4423-b5d7-f1c49d6e8080</errorID>
      <errorWord>-</errorWord>
      <group>L1_Format</group>
      <groupName>格式问题</groupName>
      <ability>L2_HalfPunc_CN</ability>
      <abilityName>全半角问题</abilityName>
      <candidateList>
        <item>－</item>
      </candidateList>
      <explain>文本全半角错误。</explain>
      <paraID>309EE063</paraID>
      <start>39</start>
      <end>40</end>
      <status>unmodified</status>
      <modifiedWord/>
      <trackRevisions>false</trackRevisions>
    </reviewItem>
    <reviewItem>
      <errorID>4274c930-06f8-4881-91f1-c3504bdecf06</errorID>
      <errorWord>-</errorWord>
      <group>L1_Format</group>
      <groupName>格式问题</groupName>
      <ability>L2_HalfPunc_CN</ability>
      <abilityName>全半角问题</abilityName>
      <candidateList>
        <item>－</item>
      </candidateList>
      <explain>文本全半角错误。</explain>
      <paraID>309EE063</paraID>
      <start>40</start>
      <end>41</end>
      <status>unmodified</status>
      <modifiedWord/>
      <trackRevisions>false</trackRevisions>
    </reviewItem>
    <reviewItem>
      <errorID>310ab7f6-c2cc-4f62-a7ca-2b419ba82463</errorID>
      <errorWord>-</errorWord>
      <group>L1_Format</group>
      <groupName>格式问题</groupName>
      <ability>L2_HalfPunc_CN</ability>
      <abilityName>全半角问题</abilityName>
      <candidateList>
        <item>－</item>
      </candidateList>
      <explain>文本全半角错误。</explain>
      <paraID>309EE063</paraID>
      <start>66</start>
      <end>67</end>
      <status>unmodified</status>
      <modifiedWord/>
      <trackRevisions>false</trackRevisions>
    </reviewItem>
    <reviewItem>
      <errorID>61cdd5a1-8b12-4139-9d4e-1895b5fec15e</errorID>
      <errorWord>-</errorWord>
      <group>L1_Format</group>
      <groupName>格式问题</groupName>
      <ability>L2_HalfPunc_CN</ability>
      <abilityName>全半角问题</abilityName>
      <candidateList>
        <item>－</item>
      </candidateList>
      <explain>文本全半角错误。</explain>
      <paraID>309EE063</paraID>
      <start>67</start>
      <end>68</end>
      <status>unmodified</status>
      <modifiedWord/>
      <trackRevisions>false</trackRevisions>
    </reviewItem>
    <reviewItem>
      <errorID>292af03f-208f-4c0e-b3c1-f509c90f918f</errorID>
      <errorWord>“.</errorWord>
      <group>L1_Punc</group>
      <groupName>标点问题</groupName>
      <ability>L2_Punc_CN</ability>
      <abilityName>标点符号问题</abilityName>
      <candidateList>
        <item>“</item>
      </candidateList>
      <explain/>
      <paraID>309EE063</paraID>
      <start>79</start>
      <end>81</end>
      <status>unmodified</status>
      <modifiedWord/>
      <trackRevisions>false</trackRevisions>
    </reviewItem>
    <reviewItem>
      <errorID>59788863-c415-4788-a84d-a54f2dac5af0</errorID>
      <errorWord>“.</errorWord>
      <group>L1_Punc</group>
      <groupName>标点问题</groupName>
      <ability>L2_Punc_CN</ability>
      <abilityName>标点符号问题</abilityName>
      <candidateList>
        <item>“</item>
      </candidateList>
      <explain/>
      <paraID>309EE063</paraID>
      <start>94</start>
      <end>96</end>
      <status>unmodified</status>
      <modifiedWord/>
      <trackRevisions>false</trackRevisions>
    </reviewItem>
    <reviewItem>
      <errorID>b88f7415-880a-48a0-8cbd-41890ae94622</errorID>
      <errorWord>-</errorWord>
      <group>L1_Format</group>
      <groupName>格式问题</groupName>
      <ability>L2_HalfPunc_CN</ability>
      <abilityName>全半角问题</abilityName>
      <candidateList>
        <item>－</item>
      </candidateList>
      <explain>文本全半角错误。</explain>
      <paraID>309EE063</paraID>
      <start>117</start>
      <end>118</end>
      <status>unmodified</status>
      <modifiedWord/>
      <trackRevisions>false</trackRevisions>
    </reviewItem>
    <reviewItem>
      <errorID>de48dd8d-5752-4101-9402-378ef9507892</errorID>
      <errorWord>-</errorWord>
      <group>L1_Format</group>
      <groupName>格式问题</groupName>
      <ability>L2_HalfPunc_CN</ability>
      <abilityName>全半角问题</abilityName>
      <candidateList>
        <item>－</item>
      </candidateList>
      <explain>文本全半角错误。</explain>
      <paraID>309EE063</paraID>
      <start>118</start>
      <end>119</end>
      <status>unmodified</status>
      <modifiedWord/>
      <trackRevisions>false</trackRevisions>
    </reviewItem>
    <reviewItem>
      <errorID>81c5a6fb-f18f-4735-a670-5ae1f3df8f67</errorID>
      <errorWord>-</errorWord>
      <group>L1_Format</group>
      <groupName>格式问题</groupName>
      <ability>L2_HalfPunc_CN</ability>
      <abilityName>全半角问题</abilityName>
      <candidateList>
        <item>－</item>
      </candidateList>
      <explain>文本全半角错误。</explain>
      <paraID>309EE063</paraID>
      <start>125</start>
      <end>126</end>
      <status>unmodified</status>
      <modifiedWord/>
      <trackRevisions>false</trackRevisions>
    </reviewItem>
    <reviewItem>
      <errorID>b85d797a-e774-4368-bc2a-b08f8eca25cb</errorID>
      <errorWord>-</errorWord>
      <group>L1_Format</group>
      <groupName>格式问题</groupName>
      <ability>L2_HalfPunc_CN</ability>
      <abilityName>全半角问题</abilityName>
      <candidateList>
        <item>－</item>
      </candidateList>
      <explain>文本全半角错误。</explain>
      <paraID>309EE063</paraID>
      <start>126</start>
      <end>127</end>
      <status>unmodified</status>
      <modifiedWord/>
      <trackRevisions>false</trackRevisions>
    </reviewItem>
    <reviewItem>
      <errorID>96bc3395-a29c-45f4-bcb3-8a1da5c52219</errorID>
      <errorWord>“.</errorWord>
      <group>L1_Punc</group>
      <groupName>标点问题</groupName>
      <ability>L2_Punc_CN</ability>
      <abilityName>标点符号问题</abilityName>
      <candidateList>
        <item>“</item>
      </candidateList>
      <explain/>
      <paraID>23D66A68</paraID>
      <start>11</start>
      <end>13</end>
      <status>unmodified</status>
      <modifiedWord/>
      <trackRevisions>false</trackRevisions>
    </reviewItem>
    <reviewItem>
      <errorID>d1682583-0051-4cf8-aa6a-65df3dd93ae3</errorID>
      <errorWord>-</errorWord>
      <group>L1_Format</group>
      <groupName>格式问题</groupName>
      <ability>L2_HalfPunc_CN</ability>
      <abilityName>全半角问题</abilityName>
      <candidateList>
        <item>－</item>
      </candidateList>
      <explain>文本全半角错误。</explain>
      <paraID>23D66A68</paraID>
      <start>48</start>
      <end>49</end>
      <status>unmodified</status>
      <modifiedWord/>
      <trackRevisions>false</trackRevisions>
    </reviewItem>
    <reviewItem>
      <errorID>df3b3715-f151-4391-a754-ca110ebac1c2</errorID>
      <errorWord>-</errorWord>
      <group>L1_Format</group>
      <groupName>格式问题</groupName>
      <ability>L2_HalfPunc_CN</ability>
      <abilityName>全半角问题</abilityName>
      <candidateList>
        <item>－</item>
      </candidateList>
      <explain>文本全半角错误。</explain>
      <paraID>23D66A68</paraID>
      <start>49</start>
      <end>50</end>
      <status>unmodified</status>
      <modifiedWord/>
      <trackRevisions>false</trackRevisions>
    </reviewItem>
    <reviewItem>
      <errorID>d990338c-a990-4d79-acf5-0df21c475eef</errorID>
      <errorWord>-</errorWord>
      <group>L1_Format</group>
      <groupName>格式问题</groupName>
      <ability>L2_HalfPunc_CN</ability>
      <abilityName>全半角问题</abilityName>
      <candidateList>
        <item>－</item>
      </candidateList>
      <explain>文本全半角错误。</explain>
      <paraID>23D66A68</paraID>
      <start>55</start>
      <end>56</end>
      <status>unmodified</status>
      <modifiedWord/>
      <trackRevisions>false</trackRevisions>
    </reviewItem>
    <reviewItem>
      <errorID>ca328159-8fa1-40cf-8f82-9967bc4371aa</errorID>
      <errorWord>-</errorWord>
      <group>L1_Format</group>
      <groupName>格式问题</groupName>
      <ability>L2_HalfPunc_CN</ability>
      <abilityName>全半角问题</abilityName>
      <candidateList>
        <item>－</item>
      </candidateList>
      <explain>文本全半角错误。</explain>
      <paraID>23D66A68</paraID>
      <start>56</start>
      <end>57</end>
      <status>unmodified</status>
      <modifiedWord/>
      <trackRevisions>false</trackRevisions>
    </reviewItem>
    <reviewItem>
      <errorID>ba6c140e-6260-4ef3-9740-1b7bcb017130</errorID>
      <errorWord>（</errorWord>
      <group>L1_Punc</group>
      <groupName>标点问题</groupName>
      <ability>L2_Punc_CN</ability>
      <abilityName>标点符号问题</abilityName>
      <candidateList/>
      <explain>同一形式括号套用。</explain>
      <paraID>12A45181</paraID>
      <start>215</start>
      <end>216</end>
      <status>unmodified</status>
      <modifiedWord/>
      <trackRevisions>false</trackRevisions>
    </reviewItem>
    <reviewItem>
      <errorID>c657497b-3050-4627-8988-82b1f16450ad</errorID>
      <errorWord>）</errorWord>
      <group>L1_Punc</group>
      <groupName>标点问题</groupName>
      <ability>L2_Punc_CN</ability>
      <abilityName>标点符号问题</abilityName>
      <candidateList/>
      <explain>同一形式括号套用。</explain>
      <paraID>12A45181</paraID>
      <start>220</start>
      <end>221</end>
      <status>unmodified</status>
      <modifiedWord/>
      <trackRevisions>false</trackRevisions>
    </reviewItem>
    <reviewItem>
      <errorID>f400b32e-3362-4b4a-9015-f37737506663</errorID>
      <errorWord>（</errorWord>
      <group>L1_Punc</group>
      <groupName>标点问题</groupName>
      <ability>L2_Punc_CN</ability>
      <abilityName>标点符号问题</abilityName>
      <candidateList/>
      <explain>同一形式括号套用。</explain>
      <paraID>71957778</paraID>
      <start>62</start>
      <end>63</end>
      <status>unmodified</status>
      <modifiedWord/>
      <trackRevisions>false</trackRevisions>
    </reviewItem>
    <reviewItem>
      <errorID>575c5992-ca78-4bcd-92cd-b4d9650df7f4</errorID>
      <errorWord>）</errorWord>
      <group>L1_Punc</group>
      <groupName>标点问题</groupName>
      <ability>L2_Punc_CN</ability>
      <abilityName>标点符号问题</abilityName>
      <candidateList/>
      <explain>同一形式括号套用。</explain>
      <paraID>71957778</paraID>
      <start>64</start>
      <end>65</end>
      <status>unmodified</status>
      <modifiedWord/>
      <trackRevisions>false</trackRevisions>
    </reviewItem>
    <reviewItem>
      <errorID>6549e796-d416-4e99-bfb8-ee7612699d2f</errorID>
      <errorWord>-</errorWord>
      <group>L1_Format</group>
      <groupName>格式问题</groupName>
      <ability>L2_HalfPunc_CN</ability>
      <abilityName>全半角问题</abilityName>
      <candidateList>
        <item>－</item>
      </candidateList>
      <explain>文本全半角错误。</explain>
      <paraID>71957778</paraID>
      <start>65</start>
      <end>66</end>
      <status>unmodified</status>
      <modifiedWord/>
      <trackRevisions>false</trackRevisions>
    </reviewItem>
    <reviewItem>
      <errorID>2b49011a-b53e-46ff-97bf-e1baa5193262</errorID>
      <errorWord>（</errorWord>
      <group>L1_Punc</group>
      <groupName>标点问题</groupName>
      <ability>L2_Punc_CN</ability>
      <abilityName>标点符号问题</abilityName>
      <candidateList/>
      <explain>同一形式括号套用。</explain>
      <paraID>71957778</paraID>
      <start>66</start>
      <end>67</end>
      <status>unmodified</status>
      <modifiedWord/>
      <trackRevisions>false</trackRevisions>
    </reviewItem>
    <reviewItem>
      <errorID>d36c9d93-7fd2-44ae-a9b2-9b468f4aea9d</errorID>
      <errorWord>）</errorWord>
      <group>L1_Punc</group>
      <groupName>标点问题</groupName>
      <ability>L2_Punc_CN</ability>
      <abilityName>标点符号问题</abilityName>
      <candidateList/>
      <explain>同一形式括号套用。</explain>
      <paraID>71957778</paraID>
      <start>68</start>
      <end>69</end>
      <status>unmodified</status>
      <modifiedWord/>
      <trackRevisions>false</trackRevisions>
    </reviewItem>
    <reviewItem>
      <errorID>27cc44ad-7be4-47e7-b302-9096c7682820</errorID>
      <errorWord>&lt;</errorWord>
      <group>L1_Format</group>
      <groupName>格式问题</groupName>
      <ability>L2_HalfPunc_CN</ability>
      <abilityName>全半角问题</abilityName>
      <candidateList>
        <item>〈</item>
      </candidateList>
      <explain>文本全半角错误。</explain>
      <paraID>3342ADB6</paraID>
      <start>37</start>
      <end>38</end>
      <status>unmodified</status>
      <modifiedWord/>
      <trackRevisions>false</trackRevisions>
    </reviewItem>
    <reviewItem>
      <errorID>e72098e9-2e63-4657-aa4e-f190b8037730</errorID>
      <errorWord>&lt;</errorWord>
      <group>L1_Format</group>
      <groupName>格式问题</groupName>
      <ability>L2_HalfPunc_CN</ability>
      <abilityName>全半角问题</abilityName>
      <candidateList>
        <item>〈</item>
      </candidateList>
      <explain>文本全半角错误。</explain>
      <paraID>200EDC43</paraID>
      <start>37</start>
      <end>38</end>
      <status>unmodified</status>
      <modifiedWord/>
      <trackRevisions>false</trackRevisions>
    </reviewItem>
    <reviewItem>
      <errorID>69106b2a-543f-49db-893c-71beab825fcd</errorID>
      <errorWord>&lt;</errorWord>
      <group>L1_Format</group>
      <groupName>格式问题</groupName>
      <ability>L2_HalfPunc_CN</ability>
      <abilityName>全半角问题</abilityName>
      <candidateList>
        <item>〈</item>
      </candidateList>
      <explain>文本全半角错误。</explain>
      <paraID>7524B234</paraID>
      <start>26</start>
      <end>27</end>
      <status>unmodified</status>
      <modifiedWord/>
      <trackRevisions>false</trackRevisions>
    </reviewItem>
    <reviewItem>
      <errorID>45a93475-f3fa-4fa3-876b-c717031e8fc0</errorID>
      <errorWord>，</errorWord>
      <group>L1_Word</group>
      <groupName>字词问题</groupName>
      <ability>L2_Typo</ability>
      <abilityName>字词错误</abilityName>
      <candidateList>
        <item>，并</item>
      </candidateList>
      <explain/>
      <paraID>793BAB21</paraID>
      <start>64</start>
      <end>65</end>
      <status>unmodified</status>
      <modifiedWord/>
      <trackRevisions>false</trackRevisions>
    </reviewItem>
    <reviewItem>
      <errorID>36879fca-8234-4ad7-b78d-cda18b4a6907</errorID>
      <errorWord>交纳</errorWord>
      <group>L1_Word</group>
      <groupName>字词问题</groupName>
      <ability>L2_Typo</ability>
      <abilityName>字词错误</abilityName>
      <candidateList>
        <item>缴纳</item>
      </candidateList>
      <explain>存在发音相同字词的误用。</explain>
      <paraID>16EEEBC7</paraID>
      <start>7</start>
      <end>9</end>
      <status>unmodified</status>
      <modifiedWord/>
      <trackRevisions>false</trackRevisions>
    </reviewItem>
    <reviewItem>
      <errorID>81c1380e-3987-4ed2-b189-02ad77cda227</errorID>
      <errorWord>，</errorWord>
      <group>L1_Word</group>
      <groupName>字词问题</groupName>
      <ability>L2_Typo</ability>
      <abilityName>字词错误</abilityName>
      <candidateList>
        <item>，在</item>
      </candidateList>
      <explain/>
      <paraID> A0F00E0</paraID>
      <start>45</start>
      <end>46</end>
      <status>unmodified</status>
      <modifiedWord/>
      <trackRevisions>false</trackRevisions>
    </reviewItem>
    <reviewItem>
      <errorID>ee124288-fdd2-4614-a9d0-5a360258f8ed</errorID>
      <errorWord>-</errorWord>
      <group>L1_Format</group>
      <groupName>格式问题</groupName>
      <ability>L2_HalfPunc_CN</ability>
      <abilityName>全半角问题</abilityName>
      <candidateList>
        <item>－</item>
      </candidateList>
      <explain>文本全半角错误。</explain>
      <paraID>43B60BE7</paraID>
      <start>11</start>
      <end>12</end>
      <status>unmodified</status>
      <modifiedWord/>
      <trackRevisions>false</trackRevisions>
    </reviewItem>
    <reviewItem>
      <errorID>da88d7f0-738c-4de8-ad1e-2d30d425f9a9</errorID>
      <errorWord>-</errorWord>
      <group>L1_Format</group>
      <groupName>格式问题</groupName>
      <ability>L2_HalfPunc_CN</ability>
      <abilityName>全半角问题</abilityName>
      <candidateList>
        <item>－</item>
      </candidateList>
      <explain>文本全半角错误。</explain>
      <paraID>39F36FCA</paraID>
      <start>16</start>
      <end>17</end>
      <status>unmodified</status>
      <modifiedWord/>
      <trackRevisions>false</trackRevisions>
    </reviewItem>
    <reviewItem>
      <errorID>bc1faf2d-06cf-4115-8570-e84e4427ce39</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73E2FA87</paraID>
      <start>176</start>
      <end>181</end>
      <status>unmodified</status>
      <modifiedWord/>
      <trackRevisions>false</trackRevisions>
    </reviewItem>
    <reviewItem>
      <errorID>d0678001-0b74-4926-b868-9603ca607a33</errorID>
      <errorWord>类似</errorWord>
      <group>L1_Word</group>
      <groupName>字词问题</groupName>
      <ability>L2_Typo</ability>
      <abilityName>字词错误</abilityName>
      <candidateList>
        <item>类</item>
      </candidateList>
      <explain/>
      <paraID>710C7CA9</paraID>
      <start>22</start>
      <end>24</end>
      <status>unmodified</status>
      <modifiedWord/>
      <trackRevisions>false</trackRevisions>
    </reviewItem>
    <reviewItem>
      <errorID>2fbd6d2e-7abd-481b-a486-1bb51c0f4259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63BD7130</paraID>
      <start>20</start>
      <end>23</end>
      <status>unmodified</status>
      <modifiedWord/>
      <trackRevisions>false</trackRevisions>
    </reviewItem>
    <reviewItem>
      <errorID>c92399df-298b-4734-8637-21186497e0d2</errorID>
      <errorWord>供应</errorWord>
      <group>L1_Grammar</group>
      <groupName>语法问题</groupName>
      <ability>L2_Grammar</ability>
      <abilityName>语法错误</abilityName>
      <candidateList>
        <item>提供</item>
      </candidateList>
      <explain>“供应～服务”搭配不当，建议修改为“提供～服务”。</explain>
      <paraID>5676AD9D</paraID>
      <start>4</start>
      <end>6</end>
      <status>unmodified</status>
      <modifiedWord/>
      <trackRevisions>false</trackRevisions>
    </reviewItem>
    <reviewItem>
      <errorID>55c65786-4063-41b3-b67c-c72932f0436b</errorID>
      <errorWord>南京市市场</errorWord>
      <group>L1_Political</group>
      <groupName>政治性问题</groupName>
      <ability>L2_Leader</ability>
      <abilityName>领导人姓名/职务</abilityName>
      <candidateList>
        <item>南京市市长</item>
      </candidateList>
      <explain>疑似职务错误。</explain>
      <paraID>2788DB48</paraID>
      <start>0</start>
      <end>5</end>
      <status>unmodified</status>
      <modifiedWord/>
      <trackRevisions>false</trackRevisions>
    </reviewItem>
    <reviewItem>
      <errorID>de32a59d-4c54-4c51-b518-d6ccca4747c2</errorID>
      <errorWord>下</errorWord>
      <group>L1_Word</group>
      <groupName>字词问题</groupName>
      <ability>L2_Typo</ability>
      <abilityName>字词错误</abilityName>
      <candidateList>
        <item>下简</item>
      </candidateList>
      <explain/>
      <paraID>4074F2E5</paraID>
      <start>6</start>
      <end>7</end>
      <status>unmodified</status>
      <modifiedWord/>
      <trackRevisions>false</trackRevisions>
    </reviewItem>
    <reviewItem>
      <errorID>9976d7f8-84cd-4033-bca7-88bd16824371</errorID>
      <errorWord>下</errorWord>
      <group>L1_Word</group>
      <groupName>字词问题</groupName>
      <ability>L2_Typo</ability>
      <abilityName>字词错误</abilityName>
      <candidateList>
        <item>下简</item>
      </candidateList>
      <explain/>
      <paraID>619706DE</paraID>
      <start>6</start>
      <end>7</end>
      <status>unmodified</status>
      <modifiedWord/>
      <trackRevisions>false</trackRevisions>
    </reviewItem>
    <reviewItem>
      <errorID>998e3401-27b9-43b2-8d3e-82e45231c2b0</errorID>
      <errorWord>-</errorWord>
      <group>L1_Format</group>
      <groupName>格式问题</groupName>
      <ability>L2_HalfPunc_CN</ability>
      <abilityName>全半角问题</abilityName>
      <candidateList>
        <item>－</item>
      </candidateList>
      <explain>文本全半角错误。</explain>
      <paraID> DF5BB5A</paraID>
      <start>42</start>
      <end>43</end>
      <status>unmodified</status>
      <modifiedWord/>
      <trackRevisions>false</trackRevisions>
    </reviewItem>
    <reviewItem>
      <errorID>125ae4b4-5c55-400b-b568-acc8d77e496f</errorID>
      <errorWord>南京市市场</errorWord>
      <group>L1_Political</group>
      <groupName>政治性问题</groupName>
      <ability>L2_Leader</ability>
      <abilityName>领导人姓名/职务</abilityName>
      <candidateList>
        <item>南京市市长</item>
      </candidateList>
      <explain>疑似职务错误。</explain>
      <paraID>2BEB60EE</paraID>
      <start>21</start>
      <end>26</end>
      <status>unmodified</status>
      <modifiedWord/>
      <trackRevisions>false</trackRevisions>
    </reviewItem>
    <reviewItem>
      <errorID>eb36c0c4-1dde-4f6d-9a3e-43af4dd5aed9</errorID>
      <errorWord>;</errorWord>
      <group>L1_Format</group>
      <groupName>格式问题</groupName>
      <ability>L2_HalfPunc_CN</ability>
      <abilityName>全半角问题</abilityName>
      <candidateList>
        <item>；</item>
      </candidateList>
      <explain>文本全半角错误。</explain>
      <paraID>5425A567</paraID>
      <start>25</start>
      <end>26</end>
      <status>modified</status>
      <modifiedWord>；</modifiedWord>
      <trackRevisions>false</trackRevisions>
    </reviewItem>
    <reviewItem>
      <errorID>5340f372-43d1-413a-99ac-86a81c083630</errorID>
      <errorWord>;</errorWord>
      <group>L1_Format</group>
      <groupName>格式问题</groupName>
      <ability>L2_HalfPunc_CN</ability>
      <abilityName>全半角问题</abilityName>
      <candidateList>
        <item>；</item>
      </candidateList>
      <explain>文本全半角错误。</explain>
      <paraID>5425A567</paraID>
      <start>55</start>
      <end>56</end>
      <status>modified</status>
      <modifiedWord>；</modifiedWord>
      <trackRevisions>false</trackRevisions>
    </reviewItem>
    <reviewItem>
      <errorID>96d80fd1-a455-4792-8105-a601e07f775e</errorID>
      <errorWord>;</errorWord>
      <group>L1_Format</group>
      <groupName>格式问题</groupName>
      <ability>L2_HalfPunc_CN</ability>
      <abilityName>全半角问题</abilityName>
      <candidateList>
        <item>；</item>
      </candidateList>
      <explain>文本全半角错误。</explain>
      <paraID>5425A567</paraID>
      <start>79</start>
      <end>80</end>
      <status>modified</status>
      <modifiedWord>；</modifiedWord>
      <trackRevisions>false</trackRevisions>
    </reviewItem>
    <reviewItem>
      <errorID>41d54120-9b09-4b27-bdab-3c660bc89a67</errorID>
      <errorWord>，</errorWord>
      <group>L1_Word</group>
      <groupName>字词问题</groupName>
      <ability>L2_Typo</ability>
      <abilityName>字词错误</abilityName>
      <candidateList>
        <item>，在</item>
      </candidateList>
      <explain/>
      <paraID>727E82D4</paraID>
      <start>40</start>
      <end>41</end>
      <status>unmodified</status>
      <modifiedWord/>
      <trackRevisions>false</trackRevisions>
    </reviewItem>
    <reviewItem>
      <errorID>504d6369-319a-41d8-84e6-d72145a62d53</errorID>
      <errorWord>本</errorWord>
      <group>L1_Word</group>
      <groupName>字词问题</groupName>
      <ability>L2_Typo</ability>
      <abilityName>字词错误</abilityName>
      <candidateList>
        <item>本人</item>
      </candidateList>
      <explain/>
      <paraID>3B031190</paraID>
      <start>26</start>
      <end>27</end>
      <status>unmodified</status>
      <modifiedWord/>
      <trackRevisions>false</trackRevisions>
    </reviewItem>
    <reviewItem>
      <errorID>3e2fcb95-7fad-45f3-bc55-11ff1351dfe6</errorID>
      <errorWord>（</errorWord>
      <group>L1_Punc</group>
      <groupName>标点问题</groupName>
      <ability>L2_Punc_CN</ability>
      <abilityName>标点符号问题</abilityName>
      <candidateList/>
      <explain>同一形式括号套用。</explain>
      <paraID>65541A31</paraID>
      <start>48</start>
      <end>49</end>
      <status>unmodified</status>
      <modifiedWord/>
      <trackRevisions>false</trackRevisions>
    </reviewItem>
    <reviewItem>
      <errorID>f3b9cbe2-64b9-4dac-9a58-49d352f4c76b</errorID>
      <errorWord>）</errorWord>
      <group>L1_Punc</group>
      <groupName>标点问题</groupName>
      <ability>L2_Punc_CN</ability>
      <abilityName>标点符号问题</abilityName>
      <candidateList/>
      <explain>同一形式括号套用。</explain>
      <paraID>65541A31</paraID>
      <start>62</start>
      <end>63</end>
      <status>unmodified</status>
      <modifiedWord/>
      <trackRevisions>false</trackRevisions>
    </reviewItem>
    <reviewItem>
      <errorID>660dbddc-8654-49e0-a03b-bf82bc04fc59</errorID>
      <errorWord>（</errorWord>
      <group>L1_Punc</group>
      <groupName>标点问题</groupName>
      <ability>L2_Punc_CN</ability>
      <abilityName>标点符号问题</abilityName>
      <candidateList/>
      <explain>同一形式括号套用。</explain>
      <paraID>667DC32F</paraID>
      <start>36</start>
      <end>37</end>
      <status>unmodified</status>
      <modifiedWord/>
      <trackRevisions>false</trackRevisions>
    </reviewItem>
    <reviewItem>
      <errorID>b9b7d909-78a1-4c1c-b426-7f6294e3578f</errorID>
      <errorWord>）</errorWord>
      <group>L1_Punc</group>
      <groupName>标点问题</groupName>
      <ability>L2_Punc_CN</ability>
      <abilityName>标点符号问题</abilityName>
      <candidateList/>
      <explain>同一形式括号套用。</explain>
      <paraID>667DC32F</paraID>
      <start>42</start>
      <end>43</end>
      <status>unmodified</status>
      <modifiedWord/>
      <trackRevisions>false</trackRevisions>
    </reviewItem>
    <reviewItem>
      <errorID>ac3b6c2c-5516-4469-8fef-92554208c32f</errorID>
      <errorWord>（</errorWord>
      <group>L1_Punc</group>
      <groupName>标点问题</groupName>
      <ability>L2_Punc_CN</ability>
      <abilityName>标点符号问题</abilityName>
      <candidateList/>
      <explain>同一形式括号套用。</explain>
      <paraID> 1B5C5CF</paraID>
      <start>59</start>
      <end>60</end>
      <status>unmodified</status>
      <modifiedWord/>
      <trackRevisions>false</trackRevisions>
    </reviewItem>
    <reviewItem>
      <errorID>a6e11d3a-2d75-4796-8354-6dd4149984f0</errorID>
      <errorWord>）</errorWord>
      <group>L1_Punc</group>
      <groupName>标点问题</groupName>
      <ability>L2_Punc_CN</ability>
      <abilityName>标点符号问题</abilityName>
      <candidateList/>
      <explain>同一形式括号套用。</explain>
      <paraID> 1B5C5CF</paraID>
      <start>65</start>
      <end>66</end>
      <status>unmodified</status>
      <modifiedWord/>
      <trackRevisions>false</trackRevisions>
    </reviewItem>
    <reviewItem>
      <errorID>fe779976-18d0-466e-af8a-c67f7cb94446</errorID>
      <errorWord>（</errorWord>
      <group>L1_Punc</group>
      <groupName>标点问题</groupName>
      <ability>L2_Punc_CN</ability>
      <abilityName>标点符号问题</abilityName>
      <candidateList/>
      <explain>同一形式括号套用。</explain>
      <paraID>3572409C</paraID>
      <start>67</start>
      <end>68</end>
      <status>unmodified</status>
      <modifiedWord/>
      <trackRevisions>false</trackRevisions>
    </reviewItem>
    <reviewItem>
      <errorID>34a4b239-b750-4c67-8133-cd4f676fbcaf</errorID>
      <errorWord>）</errorWord>
      <group>L1_Punc</group>
      <groupName>标点问题</groupName>
      <ability>L2_Punc_CN</ability>
      <abilityName>标点符号问题</abilityName>
      <candidateList/>
      <explain>同一形式括号套用。</explain>
      <paraID>3572409C</paraID>
      <start>73</start>
      <end>74</end>
      <status>unmodified</status>
      <modifiedWord/>
      <trackRevisions>false</trackRevisions>
    </reviewItem>
    <reviewItem>
      <errorID>dc0e57cb-3c61-440e-a01c-afc6222bfc15</errorID>
      <errorWord>-</errorWord>
      <group>L1_Format</group>
      <groupName>格式问题</groupName>
      <ability>L2_HalfPunc_CN</ability>
      <abilityName>全半角问题</abilityName>
      <candidateList>
        <item>－</item>
      </candidateList>
      <explain>文本全半角错误。</explain>
      <paraID>1ED52098</paraID>
      <start>44</start>
      <end>45</end>
      <status>unmodified</status>
      <modifiedWord/>
      <trackRevisions>false</trackRevisions>
    </reviewItem>
    <reviewItem>
      <errorID>5d9cb959-f117-4fe8-8b03-48cbfac83ac0</errorID>
      <errorWord>-</errorWord>
      <group>L1_Format</group>
      <groupName>格式问题</groupName>
      <ability>L2_HalfPunc_CN</ability>
      <abilityName>全半角问题</abilityName>
      <candidateList>
        <item>－</item>
      </candidateList>
      <explain>文本全半角错误。</explain>
      <paraID>71502EC6</paraID>
      <start>73</start>
      <end>74</end>
      <status>unmodified</status>
      <modifiedWord/>
      <trackRevisions>false</trackRevisions>
    </reviewItem>
    <reviewItem>
      <errorID>24ef46fe-5892-4e6e-a09f-967f515e1085</errorID>
      <errorWord>,</errorWord>
      <group>L1_Format</group>
      <groupName>格式问题</groupName>
      <ability>L2_HalfPunc_CN</ability>
      <abilityName>全半角问题</abilityName>
      <candidateList>
        <item>，</item>
      </candidateList>
      <explain>文本全半角错误。</explain>
      <paraID>188A20C7</paraID>
      <start>51</start>
      <end>52</end>
      <status>unmodified</status>
      <modifiedWord/>
      <trackRevisions>false</trackRevisions>
    </reviewItem>
    <reviewItem>
      <errorID>0b189bbc-a83e-40a3-a0eb-09676bbb6f3b</errorID>
      <errorWord>:</errorWord>
      <group>L1_Format</group>
      <groupName>格式问题</groupName>
      <ability>L2_HalfPunc_CN</ability>
      <abilityName>全半角问题</abilityName>
      <candidateList>
        <item>：</item>
      </candidateList>
      <explain>文本全半角错误。</explain>
      <paraID>4A2F8F6A</paraID>
      <start>4</start>
      <end>5</end>
      <status>unmodified</status>
      <modifiedWord/>
      <trackRevisions>false</trackRevisions>
    </reviewItem>
    <reviewItem>
      <errorID>45c11d35-981e-4feb-85af-9df2487d2950</errorID>
      <errorWord>（</errorWord>
      <group>L1_Punc</group>
      <groupName>标点问题</groupName>
      <ability>L2_Punc_CN</ability>
      <abilityName>标点符号问题</abilityName>
      <candidateList/>
      <explain>同一形式括号套用。</explain>
      <paraID>27C793BC</paraID>
      <start>0</start>
      <end>1</end>
      <status>unmodified</status>
      <modifiedWord/>
      <trackRevisions>false</trackRevisions>
    </reviewItem>
    <reviewItem>
      <errorID>4417632d-bdeb-4b0c-a179-39530ba17b7a</errorID>
      <errorWord>(</errorWord>
      <group>L1_Punc</group>
      <groupName>标点问题</groupName>
      <ability>L2_Punc_CN</ability>
      <abilityName>标点符号问题</abilityName>
      <candidateList/>
      <explain>同一形式括号套用。</explain>
      <paraID>27C793BC</paraID>
      <start>19</start>
      <end>20</end>
      <status>unmodified</status>
      <modifiedWord/>
      <trackRevisions>false</trackRevisions>
    </reviewItem>
    <reviewItem>
      <errorID>2c46dbe2-16f5-48aa-a38d-ede3c8cdf224</errorID>
      <errorWord>)</errorWord>
      <group>L1_Punc</group>
      <groupName>标点问题</groupName>
      <ability>L2_Punc_CN</ability>
      <abilityName>标点符号问题</abilityName>
      <candidateList/>
      <explain>同一形式括号套用。</explain>
      <paraID>27C793BC</paraID>
      <start>29</start>
      <end>30</end>
      <status>unmodified</status>
      <modifiedWord/>
      <trackRevisions>false</trackRevisions>
    </reviewItem>
    <reviewItem>
      <errorID>efa0066b-7ede-4d1d-beba-7c542ce2ab70</errorID>
      <errorWord>）</errorWord>
      <group>L1_Punc</group>
      <groupName>标点问题</groupName>
      <ability>L2_Punc_CN</ability>
      <abilityName>标点符号问题</abilityName>
      <candidateList/>
      <explain>同一形式括号套用。</explain>
      <paraID>27C793BC</paraID>
      <start>44</start>
      <end>45</end>
      <status>unmodified</status>
      <modifiedWord/>
      <trackRevisions>false</trackRevisions>
    </reviewItem>
    <reviewItem>
      <errorID>3639d0e5-556d-4248-bf92-4a6d6b8135c8</errorID>
      <errorWord>《政府采购法》</errorWord>
      <group>L1_Word</group>
      <groupName>字词问题</groupName>
      <ability>L2_Typo</ability>
      <abilityName>字词错误</abilityName>
      <candidateList>
        <item>《中华人民共和国政府采购法》</item>
      </candidateList>
      <explain/>
      <paraID>6E24FD33</paraID>
      <start>104</start>
      <end>111</end>
      <status>unmodified</status>
      <modifiedWord/>
      <trackRevisions>false</trackRevisions>
    </reviewItem>
    <reviewItem>
      <errorID>afccad12-2857-4919-8c2b-6faeb311ce86</errorID>
      <errorWord>；</errorWord>
      <group>L1_Word</group>
      <groupName>字词问题</groupName>
      <ability>L2_Typo</ability>
      <abilityName>字词错误</abilityName>
      <candidateList>
        <item>；具</item>
      </candidateList>
      <explain/>
      <paraID>6E24FD33</paraID>
      <start>158</start>
      <end>159</end>
      <status>unmodified</status>
      <modifiedWord/>
      <trackRevisions>false</trackRevisions>
    </reviewItem>
    <reviewItem>
      <errorID>c3b1b845-1ce8-4537-b15f-76fe7676e2d3</errorID>
      <errorWord>，</errorWord>
      <group>L1_Word</group>
      <groupName>字词问题</groupName>
      <ability>L2_Typo</ability>
      <abilityName>字词错误</abilityName>
      <candidateList>
        <item>，自</item>
      </candidateList>
      <explain/>
      <paraID>6E24FD33</paraID>
      <start>263</start>
      <end>264</end>
      <status>unmodified</status>
      <modifiedWord/>
      <trackRevisions>false</trackRevisions>
    </reviewItem>
    <reviewItem>
      <errorID>418feb34-5ad0-4733-9048-223fa73d5495</errorID>
      <errorWord>，</errorWord>
      <group>L1_Word</group>
      <groupName>字词问题</groupName>
      <ability>L2_Typo</ability>
      <abilityName>字词错误</abilityName>
      <candidateList>
        <item>，并</item>
      </candidateList>
      <explain/>
      <paraID>6E24FD33</paraID>
      <start>273</start>
      <end>274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DF0EDE7-7EA8-4C6E-AE11-57C4926826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王丽</cp:lastModifiedBy>
  <cp:revision>14</cp:revision>
  <dcterms:created xsi:type="dcterms:W3CDTF">2026-06-11T12:42:00Z</dcterms:created>
  <dcterms:modified xsi:type="dcterms:W3CDTF">2026-07-03T05:35:05Z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7525B6ECE6E34DC6B83BD40D546BEC26_13</vt:lpwstr>
  </property>
  <property fmtid="{D5CDD505-2E9C-101B-9397-08002B2CF9AE}" pid="4" name="KSOTemplateDocerSaveRecord">
    <vt:lpwstr>eyJoZGlkIjoiMGVjMTE1MDc1N2Q3OGIzYzJkNmZlZTkxZGZiMzQ4NmEiLCJ1c2VySWQiOiIxNzgyMDUxMTU3In0=</vt:lpwstr>
  </property>
</Properties>
</file>